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F3374" w14:textId="4BDE03A6" w:rsidR="00557572" w:rsidRPr="007E78FA" w:rsidRDefault="00A04C85" w:rsidP="00557572">
      <w:pPr>
        <w:pStyle w:val="TitlePrepared"/>
        <w:spacing w:before="0" w:line="216" w:lineRule="auto"/>
        <w:ind w:left="0"/>
        <w:rPr>
          <w:rFonts w:ascii="Montserrat" w:hAnsi="Montserrat" w:cstheme="minorBidi"/>
          <w:b/>
          <w:color w:val="6F6F6F"/>
          <w:sz w:val="40"/>
          <w:szCs w:val="40"/>
        </w:rPr>
      </w:pPr>
      <w:bookmarkStart w:id="0" w:name="_Hlk115448018"/>
      <w:bookmarkStart w:id="1" w:name="_Hlk119316991"/>
      <w:r w:rsidRPr="007E78FA">
        <w:rPr>
          <w:rFonts w:ascii="Montserrat" w:hAnsi="Montserrat" w:cstheme="minorBidi"/>
          <w:b/>
          <w:color w:val="6F6F6F"/>
          <w:sz w:val="40"/>
          <w:szCs w:val="40"/>
        </w:rPr>
        <w:t>SB 4 Project Checklist</w:t>
      </w:r>
    </w:p>
    <w:p w14:paraId="4FF5BD6F" w14:textId="3DCE64D5" w:rsidR="00557572" w:rsidRPr="007E78FA" w:rsidRDefault="008474AB" w:rsidP="008474AB">
      <w:pPr>
        <w:pStyle w:val="TitlePrepared"/>
        <w:spacing w:before="0" w:line="216" w:lineRule="auto"/>
        <w:ind w:left="0"/>
        <w:rPr>
          <w:rFonts w:ascii="Montserrat" w:hAnsi="Montserrat" w:cstheme="minorBidi"/>
          <w:color w:val="6F6F6F"/>
          <w:sz w:val="40"/>
          <w:szCs w:val="40"/>
        </w:rPr>
      </w:pPr>
      <w:r w:rsidRPr="007E78FA">
        <w:rPr>
          <w:rFonts w:ascii="Montserrat" w:hAnsi="Montserrat" w:cstheme="minorBidi"/>
          <w:color w:val="6F6F6F"/>
          <w:sz w:val="40"/>
          <w:szCs w:val="40"/>
        </w:rPr>
        <w:t>Affordable Housing on Faith and Higher Education Land (Government Code § 65913.16)</w:t>
      </w:r>
    </w:p>
    <w:p w14:paraId="446DBB61" w14:textId="5C80AAE2" w:rsidR="00557572" w:rsidRPr="007E78FA" w:rsidRDefault="00F00FD0" w:rsidP="00EF34A0">
      <w:pPr>
        <w:pStyle w:val="TitlePrepared"/>
        <w:spacing w:before="480" w:after="360" w:line="216" w:lineRule="auto"/>
        <w:ind w:left="0"/>
        <w:rPr>
          <w:rFonts w:ascii="Montserrat" w:hAnsi="Montserrat"/>
          <w:b/>
          <w:bCs/>
          <w:color w:val="6F6F6F"/>
          <w:sz w:val="20"/>
          <w:szCs w:val="24"/>
        </w:rPr>
      </w:pPr>
      <w:r w:rsidRPr="007E78FA">
        <w:rPr>
          <w:rFonts w:ascii="Montserrat" w:hAnsi="Montserrat"/>
          <w:b/>
          <w:bCs/>
          <w:color w:val="6F6F6F"/>
          <w:sz w:val="20"/>
          <w:szCs w:val="24"/>
        </w:rPr>
        <w:t>February</w:t>
      </w:r>
      <w:r w:rsidR="00557572" w:rsidRPr="007E78FA">
        <w:rPr>
          <w:rFonts w:ascii="Montserrat" w:hAnsi="Montserrat"/>
          <w:b/>
          <w:bCs/>
          <w:color w:val="6F6F6F"/>
          <w:sz w:val="20"/>
          <w:szCs w:val="24"/>
        </w:rPr>
        <w:t xml:space="preserve"> 202</w:t>
      </w:r>
      <w:r w:rsidRPr="007E78FA">
        <w:rPr>
          <w:rFonts w:ascii="Montserrat" w:hAnsi="Montserrat"/>
          <w:b/>
          <w:bCs/>
          <w:color w:val="6F6F6F"/>
          <w:sz w:val="20"/>
          <w:szCs w:val="24"/>
        </w:rPr>
        <w:t>4</w:t>
      </w:r>
    </w:p>
    <w:bookmarkEnd w:id="0"/>
    <w:p w14:paraId="5B32B85A" w14:textId="05B81DCD" w:rsidR="00A61FFA" w:rsidRPr="007E78FA" w:rsidRDefault="008474AB" w:rsidP="00F11F2E">
      <w:pPr>
        <w:pStyle w:val="Heading1"/>
      </w:pPr>
      <w:r w:rsidRPr="007E78FA">
        <w:t>Overview</w:t>
      </w:r>
      <w:r w:rsidR="00A61FFA" w:rsidRPr="007E78FA">
        <w:t xml:space="preserve"> </w:t>
      </w:r>
    </w:p>
    <w:p w14:paraId="43D74CCE" w14:textId="590C809A" w:rsidR="00A61FFA" w:rsidRPr="007E78FA" w:rsidRDefault="007930C9" w:rsidP="00B86593">
      <w:r w:rsidRPr="007E78FA">
        <w:t xml:space="preserve">Senate Bill </w:t>
      </w:r>
      <w:r w:rsidR="00696067" w:rsidRPr="007E78FA">
        <w:t>4 (</w:t>
      </w:r>
      <w:r w:rsidR="008474AB" w:rsidRPr="007E78FA">
        <w:t>SB 4</w:t>
      </w:r>
      <w:r w:rsidR="00696067" w:rsidRPr="007E78FA">
        <w:t>, 2023)</w:t>
      </w:r>
      <w:r w:rsidR="008474AB" w:rsidRPr="007E78FA">
        <w:t xml:space="preserve"> requires that, upon the request of an applicant, a housing development project be a “use by right” on land owned by an independent institution of higher education or a religious </w:t>
      </w:r>
      <w:proofErr w:type="gramStart"/>
      <w:r w:rsidR="008474AB" w:rsidRPr="007E78FA">
        <w:t>institution</w:t>
      </w:r>
      <w:r w:rsidR="00EA2BA2" w:rsidRPr="007E78FA">
        <w:t>,</w:t>
      </w:r>
      <w:r w:rsidR="008474AB" w:rsidRPr="007E78FA">
        <w:t xml:space="preserve"> if</w:t>
      </w:r>
      <w:proofErr w:type="gramEnd"/>
      <w:r w:rsidR="008474AB" w:rsidRPr="007E78FA">
        <w:t xml:space="preserve"> specified criteria are met</w:t>
      </w:r>
      <w:r w:rsidR="000404A6" w:rsidRPr="007E78FA">
        <w:t>.</w:t>
      </w:r>
      <w:r w:rsidR="008474AB" w:rsidRPr="007E78FA">
        <w:t xml:space="preserve"> This checklist provides an overview of the requirements of </w:t>
      </w:r>
      <w:r w:rsidR="00C32085" w:rsidRPr="007E78FA">
        <w:t>SB 4</w:t>
      </w:r>
      <w:r w:rsidR="008474AB" w:rsidRPr="007E78FA">
        <w:t xml:space="preserve"> that provide a streamlined and ministerial approval process for eligible affordable housing development projects under Government Code Section 65913.16.</w:t>
      </w:r>
      <w:r w:rsidR="00A61FFA" w:rsidRPr="007E78FA">
        <w:t xml:space="preserve"> </w:t>
      </w:r>
    </w:p>
    <w:p w14:paraId="2B43880E" w14:textId="77777777" w:rsidR="00F11F2E" w:rsidRPr="007E78FA" w:rsidRDefault="007B10FB" w:rsidP="00F11F2E">
      <w:pPr>
        <w:pStyle w:val="Heading2"/>
        <w:rPr>
          <w:rStyle w:val="Heading2Char"/>
          <w:b/>
        </w:rPr>
      </w:pPr>
      <w:r w:rsidRPr="007E78FA">
        <w:rPr>
          <w:rStyle w:val="Heading2Char"/>
          <w:b/>
        </w:rPr>
        <w:t>Purpose</w:t>
      </w:r>
    </w:p>
    <w:p w14:paraId="535AEFC3" w14:textId="114F5383" w:rsidR="009249EB" w:rsidRPr="007E78FA" w:rsidRDefault="007B10FB" w:rsidP="00F11F2E">
      <w:r w:rsidRPr="007E78FA">
        <w:t>The purpose of this material is to provide guidance, which agencies and other entities may use at their discretion. This guidance does not alter lead agency discretion in decision-making, independent judgment and analysis, and preparing environmental documents for project or governmental action subject to CEQA requirements. This material is for general information only and should not be construed as legal advice or legal opinion.</w:t>
      </w:r>
      <w:bookmarkEnd w:id="1"/>
    </w:p>
    <w:p w14:paraId="779D27C8" w14:textId="4DA0809C" w:rsidR="000421AC" w:rsidRPr="007E78FA" w:rsidRDefault="000421AC">
      <w:r w:rsidRPr="007E78FA">
        <w:br w:type="page"/>
      </w:r>
    </w:p>
    <w:p w14:paraId="7528486F" w14:textId="77777777" w:rsidR="00C63284" w:rsidRPr="007E78FA" w:rsidRDefault="00C63284" w:rsidP="00C63284">
      <w:pPr>
        <w:pStyle w:val="Heading2"/>
        <w:jc w:val="center"/>
      </w:pPr>
      <w:r w:rsidRPr="007E78FA">
        <w:lastRenderedPageBreak/>
        <w:t>SENATE BILL 4 PROJECT CHECKLIST</w:t>
      </w:r>
    </w:p>
    <w:p w14:paraId="256FBF07" w14:textId="55EB774C" w:rsidR="00C63284" w:rsidRPr="007E78FA" w:rsidRDefault="00C63284" w:rsidP="00C63284">
      <w:pPr>
        <w:pStyle w:val="Heading2"/>
        <w:jc w:val="center"/>
      </w:pPr>
      <w:r w:rsidRPr="007E78FA">
        <w:t>AFFORDABLE HOUSING ON RELIGIOUS INSTITUTION AND</w:t>
      </w:r>
    </w:p>
    <w:p w14:paraId="61A22D96" w14:textId="0F483CD1" w:rsidR="00C63284" w:rsidRPr="007E78FA" w:rsidRDefault="00C63284" w:rsidP="00C63284">
      <w:pPr>
        <w:pStyle w:val="Heading2"/>
        <w:jc w:val="center"/>
      </w:pPr>
      <w:r w:rsidRPr="007E78FA">
        <w:t>HIGHER EDUCATION INSTITUTION LAND</w:t>
      </w:r>
    </w:p>
    <w:p w14:paraId="25BBC60F" w14:textId="77777777" w:rsidR="00C63284" w:rsidRPr="007E78FA" w:rsidRDefault="00C63284" w:rsidP="00F11F2E">
      <w:r w:rsidRPr="007E78FA">
        <w:t>If any of these responses are “no,” then the project is not eligible. For any statement with a response of “yes,” the applicant must demonstrate through providing supplemental exhibits, as appropriate, how that determination was rendered.</w:t>
      </w:r>
    </w:p>
    <w:p w14:paraId="2756E588" w14:textId="77777777" w:rsidR="00C63284" w:rsidRPr="007E78FA" w:rsidRDefault="00C63284" w:rsidP="00F11F2E">
      <w:r w:rsidRPr="007E78FA">
        <w:rPr>
          <w:highlight w:val="yellow"/>
        </w:rPr>
        <w:t>[Note to cities: This checklist assumes SB4 provisions have been adopted in the Municipal Code, so that definitions/further explanations are not necessary here. For example, the term “urbanized area” should be defined in the Code. Consider referencing the specific Code section next to the item. If</w:t>
      </w:r>
      <w:r w:rsidRPr="007E78FA">
        <w:t xml:space="preserve"> </w:t>
      </w:r>
      <w:r w:rsidRPr="007E78FA">
        <w:rPr>
          <w:highlight w:val="yellow"/>
        </w:rPr>
        <w:t>changes are not made to the Municipal Code to address SB4, further explanation/definitions should be provided here as necessary].</w:t>
      </w:r>
    </w:p>
    <w:tbl>
      <w:tblPr>
        <w:tblStyle w:val="TableGrid"/>
        <w:tblW w:w="10080" w:type="dxa"/>
        <w:jc w:val="center"/>
        <w:tblCellMar>
          <w:top w:w="43" w:type="dxa"/>
          <w:bottom w:w="43" w:type="dxa"/>
        </w:tblCellMar>
        <w:tblLook w:val="04A0" w:firstRow="1" w:lastRow="0" w:firstColumn="1" w:lastColumn="0" w:noHBand="0" w:noVBand="1"/>
      </w:tblPr>
      <w:tblGrid>
        <w:gridCol w:w="569"/>
        <w:gridCol w:w="4112"/>
        <w:gridCol w:w="4112"/>
        <w:gridCol w:w="683"/>
        <w:gridCol w:w="604"/>
      </w:tblGrid>
      <w:tr w:rsidR="0020040E" w:rsidRPr="007E78FA" w14:paraId="7FC92511" w14:textId="77777777" w:rsidTr="001646A1">
        <w:trPr>
          <w:trHeight w:val="20"/>
          <w:tblHeader/>
          <w:jc w:val="center"/>
        </w:trPr>
        <w:tc>
          <w:tcPr>
            <w:tcW w:w="569" w:type="dxa"/>
            <w:shd w:val="clear" w:color="auto" w:fill="283C75"/>
          </w:tcPr>
          <w:p w14:paraId="5C1FA236" w14:textId="77777777" w:rsidR="0020040E" w:rsidRPr="007E78FA" w:rsidRDefault="0020040E" w:rsidP="0020040E">
            <w:pPr>
              <w:jc w:val="center"/>
              <w:rPr>
                <w:color w:val="FFFFFF" w:themeColor="background1"/>
                <w:sz w:val="22"/>
                <w:szCs w:val="22"/>
              </w:rPr>
            </w:pPr>
          </w:p>
        </w:tc>
        <w:tc>
          <w:tcPr>
            <w:tcW w:w="8224" w:type="dxa"/>
            <w:gridSpan w:val="2"/>
            <w:shd w:val="clear" w:color="auto" w:fill="283C75"/>
          </w:tcPr>
          <w:p w14:paraId="449EE621" w14:textId="2FF332E8" w:rsidR="0020040E" w:rsidRPr="007E78FA" w:rsidRDefault="0020040E" w:rsidP="0020040E">
            <w:pPr>
              <w:jc w:val="center"/>
              <w:rPr>
                <w:b/>
                <w:bCs/>
                <w:color w:val="FFFFFF" w:themeColor="background1"/>
                <w:sz w:val="22"/>
                <w:szCs w:val="22"/>
              </w:rPr>
            </w:pPr>
            <w:r w:rsidRPr="007E78FA">
              <w:rPr>
                <w:b/>
                <w:bCs/>
                <w:color w:val="FFFFFF" w:themeColor="background1"/>
                <w:sz w:val="22"/>
                <w:szCs w:val="22"/>
              </w:rPr>
              <w:t>Eligibility Requirements</w:t>
            </w:r>
          </w:p>
        </w:tc>
        <w:tc>
          <w:tcPr>
            <w:tcW w:w="683" w:type="dxa"/>
            <w:shd w:val="clear" w:color="auto" w:fill="283C75"/>
          </w:tcPr>
          <w:p w14:paraId="1EEF6B23" w14:textId="567708BD" w:rsidR="0020040E" w:rsidRPr="007E78FA" w:rsidRDefault="0020040E" w:rsidP="0020040E">
            <w:pPr>
              <w:jc w:val="center"/>
              <w:rPr>
                <w:color w:val="FFFFFF" w:themeColor="background1"/>
                <w:sz w:val="22"/>
                <w:szCs w:val="22"/>
              </w:rPr>
            </w:pPr>
            <w:r w:rsidRPr="007E78FA">
              <w:rPr>
                <w:color w:val="FFFFFF" w:themeColor="background1"/>
                <w:sz w:val="22"/>
                <w:szCs w:val="22"/>
              </w:rPr>
              <w:t>Yes</w:t>
            </w:r>
          </w:p>
        </w:tc>
        <w:tc>
          <w:tcPr>
            <w:tcW w:w="604" w:type="dxa"/>
            <w:shd w:val="clear" w:color="auto" w:fill="283C75"/>
          </w:tcPr>
          <w:p w14:paraId="61EDEDD0" w14:textId="52F00927" w:rsidR="0020040E" w:rsidRPr="007E78FA" w:rsidRDefault="0020040E" w:rsidP="0020040E">
            <w:pPr>
              <w:jc w:val="center"/>
              <w:rPr>
                <w:color w:val="FFFFFF" w:themeColor="background1"/>
                <w:sz w:val="22"/>
                <w:szCs w:val="22"/>
              </w:rPr>
            </w:pPr>
            <w:r w:rsidRPr="007E78FA">
              <w:rPr>
                <w:color w:val="FFFFFF" w:themeColor="background1"/>
                <w:sz w:val="22"/>
                <w:szCs w:val="22"/>
              </w:rPr>
              <w:t>No</w:t>
            </w:r>
          </w:p>
        </w:tc>
      </w:tr>
      <w:tr w:rsidR="001646A1" w:rsidRPr="007E78FA" w14:paraId="65EE3C6C" w14:textId="77777777" w:rsidTr="001646A1">
        <w:trPr>
          <w:trHeight w:val="20"/>
          <w:jc w:val="center"/>
        </w:trPr>
        <w:tc>
          <w:tcPr>
            <w:tcW w:w="569" w:type="dxa"/>
          </w:tcPr>
          <w:p w14:paraId="22690411" w14:textId="77777777" w:rsidR="001646A1" w:rsidRPr="007E78FA" w:rsidRDefault="001646A1" w:rsidP="001646A1">
            <w:pPr>
              <w:rPr>
                <w:w w:val="90"/>
                <w:sz w:val="20"/>
                <w:szCs w:val="20"/>
              </w:rPr>
            </w:pPr>
            <w:r w:rsidRPr="007E78FA">
              <w:rPr>
                <w:w w:val="90"/>
                <w:sz w:val="20"/>
                <w:szCs w:val="20"/>
              </w:rPr>
              <w:t>1.</w:t>
            </w:r>
          </w:p>
        </w:tc>
        <w:tc>
          <w:tcPr>
            <w:tcW w:w="8224" w:type="dxa"/>
            <w:gridSpan w:val="2"/>
          </w:tcPr>
          <w:p w14:paraId="31CDCDBA" w14:textId="77777777" w:rsidR="001646A1" w:rsidRPr="007E78FA" w:rsidRDefault="001646A1" w:rsidP="001646A1">
            <w:pPr>
              <w:rPr>
                <w:w w:val="90"/>
                <w:sz w:val="20"/>
                <w:szCs w:val="20"/>
              </w:rPr>
            </w:pPr>
            <w:r w:rsidRPr="007E78FA">
              <w:rPr>
                <w:b/>
                <w:bCs/>
                <w:w w:val="90"/>
                <w:sz w:val="20"/>
                <w:szCs w:val="20"/>
              </w:rPr>
              <w:t>Multi-Family Housing</w:t>
            </w:r>
            <w:r w:rsidRPr="007E78FA">
              <w:rPr>
                <w:w w:val="90"/>
                <w:sz w:val="20"/>
                <w:szCs w:val="20"/>
              </w:rPr>
              <w:t>. The project is a multi-family housing development of 2 or more units.</w:t>
            </w:r>
          </w:p>
        </w:tc>
        <w:sdt>
          <w:sdtPr>
            <w:rPr>
              <w:w w:val="90"/>
            </w:rPr>
            <w:id w:val="-904836280"/>
            <w14:checkbox>
              <w14:checked w14:val="0"/>
              <w14:checkedState w14:val="2612" w14:font="MS Gothic"/>
              <w14:uncheckedState w14:val="2610" w14:font="MS Gothic"/>
            </w14:checkbox>
          </w:sdtPr>
          <w:sdtEndPr/>
          <w:sdtContent>
            <w:tc>
              <w:tcPr>
                <w:tcW w:w="683" w:type="dxa"/>
              </w:tcPr>
              <w:p w14:paraId="3F5A3256" w14:textId="21168C0D"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342560469"/>
            <w14:checkbox>
              <w14:checked w14:val="0"/>
              <w14:checkedState w14:val="2612" w14:font="MS Gothic"/>
              <w14:uncheckedState w14:val="2610" w14:font="MS Gothic"/>
            </w14:checkbox>
          </w:sdtPr>
          <w:sdtEndPr/>
          <w:sdtContent>
            <w:tc>
              <w:tcPr>
                <w:tcW w:w="604" w:type="dxa"/>
              </w:tcPr>
              <w:p w14:paraId="0249D7F3" w14:textId="4F734E31"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7F22821A" w14:textId="77777777" w:rsidTr="001646A1">
        <w:trPr>
          <w:trHeight w:val="20"/>
          <w:jc w:val="center"/>
        </w:trPr>
        <w:tc>
          <w:tcPr>
            <w:tcW w:w="569" w:type="dxa"/>
          </w:tcPr>
          <w:p w14:paraId="7F90EF72" w14:textId="77777777" w:rsidR="001646A1" w:rsidRPr="007E78FA" w:rsidRDefault="001646A1" w:rsidP="001646A1">
            <w:pPr>
              <w:rPr>
                <w:w w:val="90"/>
                <w:sz w:val="20"/>
                <w:szCs w:val="20"/>
              </w:rPr>
            </w:pPr>
            <w:r w:rsidRPr="007E78FA">
              <w:rPr>
                <w:w w:val="90"/>
                <w:sz w:val="20"/>
                <w:szCs w:val="20"/>
              </w:rPr>
              <w:t>2.</w:t>
            </w:r>
          </w:p>
        </w:tc>
        <w:tc>
          <w:tcPr>
            <w:tcW w:w="8224" w:type="dxa"/>
            <w:gridSpan w:val="2"/>
          </w:tcPr>
          <w:p w14:paraId="763EF50D" w14:textId="77777777" w:rsidR="001646A1" w:rsidRPr="007E78FA" w:rsidRDefault="001646A1" w:rsidP="001646A1">
            <w:pPr>
              <w:rPr>
                <w:w w:val="90"/>
                <w:sz w:val="20"/>
                <w:szCs w:val="20"/>
              </w:rPr>
            </w:pPr>
            <w:r w:rsidRPr="007E78FA">
              <w:rPr>
                <w:b/>
                <w:bCs/>
                <w:w w:val="90"/>
                <w:sz w:val="20"/>
                <w:szCs w:val="20"/>
              </w:rPr>
              <w:t>Affordable Housing Units</w:t>
            </w:r>
            <w:r w:rsidRPr="007E78FA">
              <w:rPr>
                <w:w w:val="90"/>
                <w:sz w:val="20"/>
                <w:szCs w:val="20"/>
              </w:rPr>
              <w:t xml:space="preserve">. The applicant has dedicated 100% of the units as affordable to lower income households, OR has dedicated a minimum 80% of the total units as affordable to lower income, and a maximum of 20% of the total units as affordable to moderate income, households. Managers’ units are exempt from affordability requirements. (Note: a maximum of 5% of the total units may be for staff of </w:t>
            </w:r>
            <w:proofErr w:type="gramStart"/>
            <w:r w:rsidRPr="007E78FA">
              <w:rPr>
                <w:w w:val="90"/>
                <w:sz w:val="20"/>
                <w:szCs w:val="20"/>
              </w:rPr>
              <w:t>the</w:t>
            </w:r>
            <w:proofErr w:type="gramEnd"/>
            <w:r w:rsidRPr="007E78FA">
              <w:rPr>
                <w:w w:val="90"/>
                <w:sz w:val="20"/>
                <w:szCs w:val="20"/>
              </w:rPr>
              <w:t xml:space="preserve"> higher education or religious institution). [Govt. Code </w:t>
            </w:r>
            <w:r w:rsidRPr="007E78FA">
              <w:rPr>
                <w:rFonts w:ascii="Calibri" w:hAnsi="Calibri" w:cs="Calibri"/>
                <w:w w:val="90"/>
                <w:sz w:val="20"/>
                <w:szCs w:val="20"/>
              </w:rPr>
              <w:t>§</w:t>
            </w:r>
            <w:r w:rsidRPr="007E78FA">
              <w:rPr>
                <w:w w:val="90"/>
                <w:sz w:val="20"/>
                <w:szCs w:val="20"/>
              </w:rPr>
              <w:t>65913.16(c)(9)].</w:t>
            </w:r>
          </w:p>
        </w:tc>
        <w:sdt>
          <w:sdtPr>
            <w:rPr>
              <w:w w:val="90"/>
            </w:rPr>
            <w:id w:val="262579993"/>
            <w14:checkbox>
              <w14:checked w14:val="0"/>
              <w14:checkedState w14:val="2612" w14:font="MS Gothic"/>
              <w14:uncheckedState w14:val="2610" w14:font="MS Gothic"/>
            </w14:checkbox>
          </w:sdtPr>
          <w:sdtEndPr/>
          <w:sdtContent>
            <w:tc>
              <w:tcPr>
                <w:tcW w:w="683" w:type="dxa"/>
              </w:tcPr>
              <w:p w14:paraId="684BF1AD" w14:textId="207B8842"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093856288"/>
            <w14:checkbox>
              <w14:checked w14:val="0"/>
              <w14:checkedState w14:val="2612" w14:font="MS Gothic"/>
              <w14:uncheckedState w14:val="2610" w14:font="MS Gothic"/>
            </w14:checkbox>
          </w:sdtPr>
          <w:sdtEndPr/>
          <w:sdtContent>
            <w:tc>
              <w:tcPr>
                <w:tcW w:w="604" w:type="dxa"/>
              </w:tcPr>
              <w:p w14:paraId="448360B9" w14:textId="5186CD9F"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767C1F82" w14:textId="77777777" w:rsidTr="001646A1">
        <w:trPr>
          <w:trHeight w:val="20"/>
          <w:jc w:val="center"/>
        </w:trPr>
        <w:tc>
          <w:tcPr>
            <w:tcW w:w="569" w:type="dxa"/>
          </w:tcPr>
          <w:p w14:paraId="69E62B09" w14:textId="77777777" w:rsidR="001646A1" w:rsidRPr="007E78FA" w:rsidRDefault="001646A1" w:rsidP="001646A1">
            <w:pPr>
              <w:rPr>
                <w:w w:val="90"/>
                <w:sz w:val="20"/>
                <w:szCs w:val="20"/>
              </w:rPr>
            </w:pPr>
            <w:r w:rsidRPr="007E78FA">
              <w:rPr>
                <w:w w:val="90"/>
                <w:sz w:val="20"/>
                <w:szCs w:val="20"/>
              </w:rPr>
              <w:t>3.</w:t>
            </w:r>
          </w:p>
        </w:tc>
        <w:tc>
          <w:tcPr>
            <w:tcW w:w="8224" w:type="dxa"/>
            <w:gridSpan w:val="2"/>
          </w:tcPr>
          <w:p w14:paraId="3E0DE165" w14:textId="77777777" w:rsidR="001646A1" w:rsidRPr="007E78FA" w:rsidRDefault="001646A1" w:rsidP="001646A1">
            <w:pPr>
              <w:rPr>
                <w:w w:val="90"/>
                <w:sz w:val="20"/>
                <w:szCs w:val="20"/>
              </w:rPr>
            </w:pPr>
            <w:r w:rsidRPr="007E78FA">
              <w:rPr>
                <w:b/>
                <w:bCs/>
                <w:w w:val="90"/>
                <w:sz w:val="20"/>
                <w:szCs w:val="20"/>
              </w:rPr>
              <w:t xml:space="preserve">Deed Restricted. </w:t>
            </w:r>
            <w:r w:rsidRPr="007E78FA">
              <w:rPr>
                <w:w w:val="90"/>
                <w:sz w:val="20"/>
                <w:szCs w:val="20"/>
              </w:rPr>
              <w:t xml:space="preserve">All units, exclusive of managers’ units, are subject to a recorded deed restriction for at least the following time periods: 55 years for rental units, and 45 years for owner-occupied units. [Govt. Code </w:t>
            </w:r>
            <w:r w:rsidRPr="007E78FA">
              <w:rPr>
                <w:rFonts w:ascii="Calibri" w:hAnsi="Calibri" w:cs="Calibri"/>
                <w:w w:val="90"/>
                <w:sz w:val="20"/>
                <w:szCs w:val="20"/>
              </w:rPr>
              <w:t>§</w:t>
            </w:r>
            <w:r w:rsidRPr="007E78FA">
              <w:rPr>
                <w:w w:val="90"/>
                <w:sz w:val="20"/>
                <w:szCs w:val="20"/>
              </w:rPr>
              <w:t>65913.16(c)(9)(A) and (B)].</w:t>
            </w:r>
          </w:p>
        </w:tc>
        <w:sdt>
          <w:sdtPr>
            <w:rPr>
              <w:w w:val="90"/>
            </w:rPr>
            <w:id w:val="2014641923"/>
            <w14:checkbox>
              <w14:checked w14:val="0"/>
              <w14:checkedState w14:val="2612" w14:font="MS Gothic"/>
              <w14:uncheckedState w14:val="2610" w14:font="MS Gothic"/>
            </w14:checkbox>
          </w:sdtPr>
          <w:sdtEndPr/>
          <w:sdtContent>
            <w:tc>
              <w:tcPr>
                <w:tcW w:w="683" w:type="dxa"/>
              </w:tcPr>
              <w:p w14:paraId="358CB376" w14:textId="38D7AB73"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115356412"/>
            <w14:checkbox>
              <w14:checked w14:val="0"/>
              <w14:checkedState w14:val="2612" w14:font="MS Gothic"/>
              <w14:uncheckedState w14:val="2610" w14:font="MS Gothic"/>
            </w14:checkbox>
          </w:sdtPr>
          <w:sdtEndPr/>
          <w:sdtContent>
            <w:tc>
              <w:tcPr>
                <w:tcW w:w="604" w:type="dxa"/>
              </w:tcPr>
              <w:p w14:paraId="71CD928D" w14:textId="5F68E746"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7B12F6FE" w14:textId="77777777" w:rsidTr="001646A1">
        <w:trPr>
          <w:trHeight w:val="20"/>
          <w:jc w:val="center"/>
        </w:trPr>
        <w:tc>
          <w:tcPr>
            <w:tcW w:w="569" w:type="dxa"/>
          </w:tcPr>
          <w:p w14:paraId="12D1BAD6" w14:textId="77777777" w:rsidR="001646A1" w:rsidRPr="007E78FA" w:rsidRDefault="001646A1" w:rsidP="001646A1">
            <w:pPr>
              <w:rPr>
                <w:w w:val="90"/>
                <w:sz w:val="20"/>
                <w:szCs w:val="20"/>
              </w:rPr>
            </w:pPr>
            <w:r w:rsidRPr="007E78FA">
              <w:rPr>
                <w:w w:val="90"/>
                <w:sz w:val="20"/>
                <w:szCs w:val="20"/>
              </w:rPr>
              <w:t>4.</w:t>
            </w:r>
          </w:p>
        </w:tc>
        <w:tc>
          <w:tcPr>
            <w:tcW w:w="8224" w:type="dxa"/>
            <w:gridSpan w:val="2"/>
          </w:tcPr>
          <w:p w14:paraId="12F959EB" w14:textId="77777777" w:rsidR="001646A1" w:rsidRPr="007E78FA" w:rsidRDefault="001646A1" w:rsidP="001646A1">
            <w:pPr>
              <w:rPr>
                <w:w w:val="90"/>
                <w:sz w:val="20"/>
                <w:szCs w:val="20"/>
              </w:rPr>
            </w:pPr>
            <w:r w:rsidRPr="007E78FA">
              <w:rPr>
                <w:b/>
                <w:bCs/>
                <w:w w:val="90"/>
                <w:sz w:val="20"/>
                <w:szCs w:val="20"/>
              </w:rPr>
              <w:t>Urban</w:t>
            </w:r>
            <w:r w:rsidRPr="007E78FA">
              <w:rPr>
                <w:w w:val="90"/>
                <w:sz w:val="20"/>
                <w:szCs w:val="20"/>
              </w:rPr>
              <w:t xml:space="preserve">. The site is an “urbanized area” or “urban cluster.” [Govt. Code </w:t>
            </w:r>
            <w:r w:rsidRPr="007E78FA">
              <w:rPr>
                <w:rFonts w:ascii="Calibri" w:hAnsi="Calibri" w:cs="Calibri"/>
                <w:w w:val="90"/>
                <w:sz w:val="20"/>
                <w:szCs w:val="20"/>
              </w:rPr>
              <w:t>§</w:t>
            </w:r>
            <w:r w:rsidRPr="007E78FA">
              <w:rPr>
                <w:w w:val="90"/>
                <w:sz w:val="20"/>
                <w:szCs w:val="20"/>
              </w:rPr>
              <w:t>65913.16(c)(2)].</w:t>
            </w:r>
          </w:p>
        </w:tc>
        <w:sdt>
          <w:sdtPr>
            <w:rPr>
              <w:w w:val="90"/>
            </w:rPr>
            <w:id w:val="541801851"/>
            <w14:checkbox>
              <w14:checked w14:val="0"/>
              <w14:checkedState w14:val="2612" w14:font="MS Gothic"/>
              <w14:uncheckedState w14:val="2610" w14:font="MS Gothic"/>
            </w14:checkbox>
          </w:sdtPr>
          <w:sdtEndPr/>
          <w:sdtContent>
            <w:tc>
              <w:tcPr>
                <w:tcW w:w="683" w:type="dxa"/>
              </w:tcPr>
              <w:p w14:paraId="02FB4C5D" w14:textId="3B0D55E6"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771276312"/>
            <w14:checkbox>
              <w14:checked w14:val="0"/>
              <w14:checkedState w14:val="2612" w14:font="MS Gothic"/>
              <w14:uncheckedState w14:val="2610" w14:font="MS Gothic"/>
            </w14:checkbox>
          </w:sdtPr>
          <w:sdtEndPr/>
          <w:sdtContent>
            <w:tc>
              <w:tcPr>
                <w:tcW w:w="604" w:type="dxa"/>
              </w:tcPr>
              <w:p w14:paraId="7DAD43E7" w14:textId="3EC1F63A"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42C99D38" w14:textId="77777777" w:rsidTr="001646A1">
        <w:trPr>
          <w:trHeight w:val="20"/>
          <w:jc w:val="center"/>
        </w:trPr>
        <w:tc>
          <w:tcPr>
            <w:tcW w:w="569" w:type="dxa"/>
          </w:tcPr>
          <w:p w14:paraId="219A6BC8" w14:textId="77777777" w:rsidR="001646A1" w:rsidRPr="007E78FA" w:rsidRDefault="001646A1" w:rsidP="001646A1">
            <w:pPr>
              <w:rPr>
                <w:w w:val="90"/>
                <w:sz w:val="20"/>
                <w:szCs w:val="20"/>
              </w:rPr>
            </w:pPr>
            <w:r w:rsidRPr="007E78FA">
              <w:rPr>
                <w:w w:val="90"/>
                <w:sz w:val="20"/>
                <w:szCs w:val="20"/>
              </w:rPr>
              <w:t>5.</w:t>
            </w:r>
          </w:p>
        </w:tc>
        <w:tc>
          <w:tcPr>
            <w:tcW w:w="8224" w:type="dxa"/>
            <w:gridSpan w:val="2"/>
          </w:tcPr>
          <w:p w14:paraId="3C2594B9" w14:textId="77777777" w:rsidR="001646A1" w:rsidRPr="007E78FA" w:rsidRDefault="001646A1" w:rsidP="001646A1">
            <w:pPr>
              <w:rPr>
                <w:w w:val="90"/>
                <w:sz w:val="20"/>
                <w:szCs w:val="20"/>
              </w:rPr>
            </w:pPr>
            <w:r w:rsidRPr="007E78FA">
              <w:rPr>
                <w:b/>
                <w:bCs/>
                <w:w w:val="90"/>
                <w:sz w:val="20"/>
                <w:szCs w:val="20"/>
              </w:rPr>
              <w:t>Urban Perimeter</w:t>
            </w:r>
            <w:r w:rsidRPr="007E78FA">
              <w:rPr>
                <w:w w:val="90"/>
                <w:sz w:val="20"/>
                <w:szCs w:val="20"/>
              </w:rPr>
              <w:t xml:space="preserve">. A minimum 75% of the site perimeter is developed with urban uses. [Govt. Code </w:t>
            </w:r>
            <w:r w:rsidRPr="007E78FA">
              <w:rPr>
                <w:rFonts w:ascii="Calibri" w:hAnsi="Calibri" w:cs="Calibri"/>
                <w:w w:val="90"/>
                <w:sz w:val="20"/>
                <w:szCs w:val="20"/>
              </w:rPr>
              <w:t>§</w:t>
            </w:r>
            <w:r w:rsidRPr="007E78FA">
              <w:rPr>
                <w:w w:val="90"/>
                <w:sz w:val="20"/>
                <w:szCs w:val="20"/>
              </w:rPr>
              <w:t>65913.16(c)(2)].</w:t>
            </w:r>
          </w:p>
        </w:tc>
        <w:sdt>
          <w:sdtPr>
            <w:rPr>
              <w:w w:val="90"/>
            </w:rPr>
            <w:id w:val="-254437894"/>
            <w14:checkbox>
              <w14:checked w14:val="0"/>
              <w14:checkedState w14:val="2612" w14:font="MS Gothic"/>
              <w14:uncheckedState w14:val="2610" w14:font="MS Gothic"/>
            </w14:checkbox>
          </w:sdtPr>
          <w:sdtEndPr/>
          <w:sdtContent>
            <w:tc>
              <w:tcPr>
                <w:tcW w:w="683" w:type="dxa"/>
              </w:tcPr>
              <w:p w14:paraId="08C75879" w14:textId="57E30B4D"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794047935"/>
            <w14:checkbox>
              <w14:checked w14:val="0"/>
              <w14:checkedState w14:val="2612" w14:font="MS Gothic"/>
              <w14:uncheckedState w14:val="2610" w14:font="MS Gothic"/>
            </w14:checkbox>
          </w:sdtPr>
          <w:sdtEndPr/>
          <w:sdtContent>
            <w:tc>
              <w:tcPr>
                <w:tcW w:w="604" w:type="dxa"/>
              </w:tcPr>
              <w:p w14:paraId="6299D692" w14:textId="43FC564A"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1A50DAEF" w14:textId="77777777" w:rsidTr="001646A1">
        <w:trPr>
          <w:trHeight w:val="20"/>
          <w:jc w:val="center"/>
        </w:trPr>
        <w:tc>
          <w:tcPr>
            <w:tcW w:w="569" w:type="dxa"/>
          </w:tcPr>
          <w:p w14:paraId="4BA142B0" w14:textId="77777777" w:rsidR="001646A1" w:rsidRPr="007E78FA" w:rsidRDefault="001646A1" w:rsidP="001646A1">
            <w:pPr>
              <w:rPr>
                <w:w w:val="90"/>
                <w:sz w:val="20"/>
                <w:szCs w:val="20"/>
              </w:rPr>
            </w:pPr>
            <w:r w:rsidRPr="007E78FA">
              <w:rPr>
                <w:w w:val="90"/>
                <w:sz w:val="20"/>
                <w:szCs w:val="20"/>
              </w:rPr>
              <w:t>6.</w:t>
            </w:r>
          </w:p>
        </w:tc>
        <w:tc>
          <w:tcPr>
            <w:tcW w:w="8224" w:type="dxa"/>
            <w:gridSpan w:val="2"/>
          </w:tcPr>
          <w:p w14:paraId="04882F82" w14:textId="1724A252" w:rsidR="001646A1" w:rsidRPr="007E78FA" w:rsidRDefault="001646A1" w:rsidP="001646A1">
            <w:pPr>
              <w:rPr>
                <w:w w:val="90"/>
                <w:sz w:val="20"/>
                <w:szCs w:val="20"/>
              </w:rPr>
            </w:pPr>
            <w:r w:rsidRPr="007E78FA">
              <w:rPr>
                <w:b/>
                <w:bCs/>
                <w:w w:val="90"/>
                <w:sz w:val="20"/>
                <w:szCs w:val="20"/>
              </w:rPr>
              <w:t>Religious or Higher Education Institution</w:t>
            </w:r>
            <w:r w:rsidRPr="007E78FA">
              <w:rPr>
                <w:w w:val="90"/>
                <w:sz w:val="20"/>
                <w:szCs w:val="20"/>
              </w:rPr>
              <w:t>. The project is located on a site that, as of January 1, 2024, was owned by either of the following: (1) an independent institution of higher education; or (2) a religious institution. (Note: the project may be located on the same site as an existing religious or higher education institution, or the same site as any use previously existing and legally permitted, provided all of the following are met:</w:t>
            </w:r>
            <w:r w:rsidR="007E78FA">
              <w:rPr>
                <w:w w:val="90"/>
                <w:sz w:val="20"/>
                <w:szCs w:val="20"/>
              </w:rPr>
              <w:t xml:space="preserve"> </w:t>
            </w:r>
            <w:r w:rsidRPr="007E78FA">
              <w:rPr>
                <w:w w:val="90"/>
                <w:sz w:val="20"/>
                <w:szCs w:val="20"/>
              </w:rPr>
              <w:t xml:space="preserve">the total square footage of non-residential space on the site does not exceed the amount previously existing or permitted with a conditional use permit; and the total parking requirement for non-residential space on the site does not exceed the lesser of the amount existing or of the amount required by a conditional use permit; and the new uses abide by the same operational conditions as contained in the previous conditional use permit). [Govt. Code </w:t>
            </w:r>
            <w:r w:rsidRPr="007E78FA">
              <w:rPr>
                <w:rFonts w:ascii="Calibri" w:hAnsi="Calibri" w:cs="Calibri"/>
                <w:w w:val="90"/>
                <w:sz w:val="20"/>
                <w:szCs w:val="20"/>
              </w:rPr>
              <w:t>§</w:t>
            </w:r>
            <w:r w:rsidRPr="007E78FA">
              <w:rPr>
                <w:w w:val="90"/>
                <w:sz w:val="20"/>
                <w:szCs w:val="20"/>
              </w:rPr>
              <w:t>65913.16(c)(1) and (b)(6) and (b)(10) and (i)].</w:t>
            </w:r>
          </w:p>
        </w:tc>
        <w:sdt>
          <w:sdtPr>
            <w:rPr>
              <w:w w:val="90"/>
            </w:rPr>
            <w:id w:val="1991818287"/>
            <w14:checkbox>
              <w14:checked w14:val="0"/>
              <w14:checkedState w14:val="2612" w14:font="MS Gothic"/>
              <w14:uncheckedState w14:val="2610" w14:font="MS Gothic"/>
            </w14:checkbox>
          </w:sdtPr>
          <w:sdtEndPr/>
          <w:sdtContent>
            <w:tc>
              <w:tcPr>
                <w:tcW w:w="683" w:type="dxa"/>
              </w:tcPr>
              <w:p w14:paraId="77935255" w14:textId="271E707A"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484007784"/>
            <w14:checkbox>
              <w14:checked w14:val="0"/>
              <w14:checkedState w14:val="2612" w14:font="MS Gothic"/>
              <w14:uncheckedState w14:val="2610" w14:font="MS Gothic"/>
            </w14:checkbox>
          </w:sdtPr>
          <w:sdtEndPr/>
          <w:sdtContent>
            <w:tc>
              <w:tcPr>
                <w:tcW w:w="604" w:type="dxa"/>
              </w:tcPr>
              <w:p w14:paraId="69CA8B5A" w14:textId="5EC34546"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5FE31219" w14:textId="77777777" w:rsidTr="001646A1">
        <w:trPr>
          <w:trHeight w:val="20"/>
          <w:jc w:val="center"/>
        </w:trPr>
        <w:tc>
          <w:tcPr>
            <w:tcW w:w="569" w:type="dxa"/>
          </w:tcPr>
          <w:p w14:paraId="2AEBB122" w14:textId="77777777" w:rsidR="001646A1" w:rsidRPr="007E78FA" w:rsidRDefault="001646A1" w:rsidP="007A032C">
            <w:pPr>
              <w:rPr>
                <w:w w:val="90"/>
                <w:sz w:val="20"/>
                <w:szCs w:val="20"/>
              </w:rPr>
            </w:pPr>
            <w:r w:rsidRPr="007E78FA">
              <w:rPr>
                <w:w w:val="90"/>
                <w:sz w:val="20"/>
                <w:szCs w:val="20"/>
              </w:rPr>
              <w:t>7.</w:t>
            </w:r>
          </w:p>
        </w:tc>
        <w:tc>
          <w:tcPr>
            <w:tcW w:w="8224" w:type="dxa"/>
            <w:gridSpan w:val="2"/>
          </w:tcPr>
          <w:p w14:paraId="2EF72292" w14:textId="77777777" w:rsidR="001646A1" w:rsidRPr="007E78FA" w:rsidRDefault="001646A1" w:rsidP="007A032C">
            <w:pPr>
              <w:rPr>
                <w:w w:val="90"/>
                <w:sz w:val="20"/>
                <w:szCs w:val="20"/>
              </w:rPr>
            </w:pPr>
            <w:r w:rsidRPr="007E78FA">
              <w:rPr>
                <w:b/>
                <w:bCs/>
                <w:w w:val="90"/>
                <w:sz w:val="20"/>
                <w:szCs w:val="20"/>
              </w:rPr>
              <w:t>Light Industrial Use</w:t>
            </w:r>
            <w:r w:rsidRPr="007E78FA">
              <w:rPr>
                <w:w w:val="90"/>
                <w:sz w:val="20"/>
                <w:szCs w:val="20"/>
              </w:rPr>
              <w:t xml:space="preserve">. The development does not adjoin a site where more than 1/3 of the square footage on the site has </w:t>
            </w:r>
            <w:proofErr w:type="gramStart"/>
            <w:r w:rsidRPr="007E78FA">
              <w:rPr>
                <w:w w:val="90"/>
                <w:sz w:val="20"/>
                <w:szCs w:val="20"/>
              </w:rPr>
              <w:t>a light</w:t>
            </w:r>
            <w:proofErr w:type="gramEnd"/>
            <w:r w:rsidRPr="007E78FA">
              <w:rPr>
                <w:w w:val="90"/>
                <w:sz w:val="20"/>
                <w:szCs w:val="20"/>
              </w:rPr>
              <w:t xml:space="preserve"> industrial use; where light industry is the most recently permitted use; or the General Plan designates the property for light industrial use. (Note: Parcels separated by only a street or highway are considered to be adjoined). [Govt. Code </w:t>
            </w:r>
            <w:r w:rsidRPr="007E78FA">
              <w:rPr>
                <w:rFonts w:ascii="Calibri" w:hAnsi="Calibri" w:cs="Calibri"/>
                <w:w w:val="90"/>
                <w:sz w:val="20"/>
                <w:szCs w:val="20"/>
              </w:rPr>
              <w:t>§</w:t>
            </w:r>
            <w:r w:rsidRPr="007E78FA">
              <w:rPr>
                <w:w w:val="90"/>
                <w:sz w:val="20"/>
                <w:szCs w:val="20"/>
              </w:rPr>
              <w:t>65913.16(c)(5)(A) and (B)].</w:t>
            </w:r>
          </w:p>
        </w:tc>
        <w:sdt>
          <w:sdtPr>
            <w:rPr>
              <w:w w:val="90"/>
            </w:rPr>
            <w:id w:val="-881318890"/>
            <w14:checkbox>
              <w14:checked w14:val="0"/>
              <w14:checkedState w14:val="2612" w14:font="MS Gothic"/>
              <w14:uncheckedState w14:val="2610" w14:font="MS Gothic"/>
            </w14:checkbox>
          </w:sdtPr>
          <w:sdtEndPr/>
          <w:sdtContent>
            <w:tc>
              <w:tcPr>
                <w:tcW w:w="683" w:type="dxa"/>
              </w:tcPr>
              <w:p w14:paraId="59F5FDE0" w14:textId="1AF7214C" w:rsidR="001646A1" w:rsidRPr="007E78FA" w:rsidRDefault="00735DEB" w:rsidP="007A032C">
                <w:pPr>
                  <w:jc w:val="center"/>
                  <w:rPr>
                    <w:w w:val="90"/>
                  </w:rPr>
                </w:pPr>
                <w:r w:rsidRPr="007E78FA">
                  <w:rPr>
                    <w:rFonts w:ascii="MS Gothic" w:eastAsia="MS Gothic" w:hAnsi="MS Gothic"/>
                    <w:w w:val="90"/>
                  </w:rPr>
                  <w:t>☐</w:t>
                </w:r>
              </w:p>
            </w:tc>
          </w:sdtContent>
        </w:sdt>
        <w:sdt>
          <w:sdtPr>
            <w:rPr>
              <w:w w:val="90"/>
            </w:rPr>
            <w:id w:val="1445347421"/>
            <w14:checkbox>
              <w14:checked w14:val="0"/>
              <w14:checkedState w14:val="2612" w14:font="MS Gothic"/>
              <w14:uncheckedState w14:val="2610" w14:font="MS Gothic"/>
            </w14:checkbox>
          </w:sdtPr>
          <w:sdtEndPr/>
          <w:sdtContent>
            <w:tc>
              <w:tcPr>
                <w:tcW w:w="604" w:type="dxa"/>
              </w:tcPr>
              <w:p w14:paraId="4D19551D" w14:textId="1207018E" w:rsidR="001646A1" w:rsidRPr="007E78FA" w:rsidRDefault="00735DEB" w:rsidP="007A032C">
                <w:pPr>
                  <w:jc w:val="center"/>
                  <w:rPr>
                    <w:w w:val="90"/>
                  </w:rPr>
                </w:pPr>
                <w:r w:rsidRPr="007E78FA">
                  <w:rPr>
                    <w:rFonts w:ascii="MS Gothic" w:eastAsia="MS Gothic" w:hAnsi="MS Gothic"/>
                    <w:w w:val="90"/>
                  </w:rPr>
                  <w:t>☐</w:t>
                </w:r>
              </w:p>
            </w:tc>
          </w:sdtContent>
        </w:sdt>
      </w:tr>
      <w:tr w:rsidR="001646A1" w:rsidRPr="007E78FA" w14:paraId="2144F379" w14:textId="77777777" w:rsidTr="001646A1">
        <w:trPr>
          <w:trHeight w:val="20"/>
          <w:jc w:val="center"/>
        </w:trPr>
        <w:tc>
          <w:tcPr>
            <w:tcW w:w="569" w:type="dxa"/>
          </w:tcPr>
          <w:p w14:paraId="253A3DBF" w14:textId="77777777" w:rsidR="001646A1" w:rsidRPr="007E78FA" w:rsidRDefault="001646A1" w:rsidP="001646A1">
            <w:pPr>
              <w:rPr>
                <w:w w:val="90"/>
                <w:sz w:val="20"/>
                <w:szCs w:val="20"/>
              </w:rPr>
            </w:pPr>
            <w:r w:rsidRPr="007E78FA">
              <w:rPr>
                <w:w w:val="90"/>
                <w:sz w:val="20"/>
                <w:szCs w:val="20"/>
              </w:rPr>
              <w:t>8.</w:t>
            </w:r>
          </w:p>
        </w:tc>
        <w:tc>
          <w:tcPr>
            <w:tcW w:w="8224" w:type="dxa"/>
            <w:gridSpan w:val="2"/>
          </w:tcPr>
          <w:p w14:paraId="465F9B1C" w14:textId="77777777" w:rsidR="001646A1" w:rsidRPr="007E78FA" w:rsidRDefault="001646A1" w:rsidP="001646A1">
            <w:pPr>
              <w:rPr>
                <w:w w:val="90"/>
                <w:sz w:val="20"/>
                <w:szCs w:val="20"/>
              </w:rPr>
            </w:pPr>
            <w:r w:rsidRPr="007E78FA">
              <w:rPr>
                <w:b/>
                <w:bCs/>
                <w:w w:val="90"/>
                <w:sz w:val="20"/>
                <w:szCs w:val="20"/>
              </w:rPr>
              <w:t>Heavy Industrial Use</w:t>
            </w:r>
            <w:r w:rsidRPr="007E78FA">
              <w:rPr>
                <w:w w:val="90"/>
                <w:sz w:val="20"/>
                <w:szCs w:val="20"/>
              </w:rPr>
              <w:t xml:space="preserve">. The housing units are not located within 1,200 feet of a site that is either currently used for heavy industry or where the most recent permitted use was heavy industry. [Govt. Code </w:t>
            </w:r>
            <w:r w:rsidRPr="007E78FA">
              <w:rPr>
                <w:rFonts w:ascii="Calibri" w:hAnsi="Calibri" w:cs="Calibri"/>
                <w:w w:val="90"/>
                <w:sz w:val="20"/>
                <w:szCs w:val="20"/>
              </w:rPr>
              <w:t>§</w:t>
            </w:r>
            <w:r w:rsidRPr="007E78FA">
              <w:rPr>
                <w:w w:val="90"/>
                <w:sz w:val="20"/>
                <w:szCs w:val="20"/>
              </w:rPr>
              <w:t>65913.16(c)(A) and (B)].</w:t>
            </w:r>
          </w:p>
        </w:tc>
        <w:sdt>
          <w:sdtPr>
            <w:rPr>
              <w:w w:val="90"/>
            </w:rPr>
            <w:id w:val="1862622062"/>
            <w14:checkbox>
              <w14:checked w14:val="0"/>
              <w14:checkedState w14:val="2612" w14:font="MS Gothic"/>
              <w14:uncheckedState w14:val="2610" w14:font="MS Gothic"/>
            </w14:checkbox>
          </w:sdtPr>
          <w:sdtEndPr/>
          <w:sdtContent>
            <w:tc>
              <w:tcPr>
                <w:tcW w:w="683" w:type="dxa"/>
              </w:tcPr>
              <w:p w14:paraId="5CCE4907" w14:textId="340E7B95"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2123491955"/>
            <w14:checkbox>
              <w14:checked w14:val="0"/>
              <w14:checkedState w14:val="2612" w14:font="MS Gothic"/>
              <w14:uncheckedState w14:val="2610" w14:font="MS Gothic"/>
            </w14:checkbox>
          </w:sdtPr>
          <w:sdtEndPr/>
          <w:sdtContent>
            <w:tc>
              <w:tcPr>
                <w:tcW w:w="604" w:type="dxa"/>
              </w:tcPr>
              <w:p w14:paraId="70D472CC" w14:textId="5FFC42A3"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49624B7A" w14:textId="77777777" w:rsidTr="001646A1">
        <w:trPr>
          <w:trHeight w:val="20"/>
          <w:jc w:val="center"/>
        </w:trPr>
        <w:tc>
          <w:tcPr>
            <w:tcW w:w="569" w:type="dxa"/>
          </w:tcPr>
          <w:p w14:paraId="6D3D2A11" w14:textId="77777777" w:rsidR="001646A1" w:rsidRPr="007E78FA" w:rsidRDefault="001646A1" w:rsidP="001646A1">
            <w:pPr>
              <w:rPr>
                <w:w w:val="90"/>
                <w:sz w:val="20"/>
                <w:szCs w:val="20"/>
              </w:rPr>
            </w:pPr>
            <w:r w:rsidRPr="007E78FA">
              <w:rPr>
                <w:w w:val="90"/>
                <w:sz w:val="20"/>
                <w:szCs w:val="20"/>
              </w:rPr>
              <w:lastRenderedPageBreak/>
              <w:t>9.</w:t>
            </w:r>
          </w:p>
        </w:tc>
        <w:tc>
          <w:tcPr>
            <w:tcW w:w="8224" w:type="dxa"/>
            <w:gridSpan w:val="2"/>
          </w:tcPr>
          <w:p w14:paraId="5E83C875" w14:textId="77777777" w:rsidR="001646A1" w:rsidRPr="007E78FA" w:rsidRDefault="001646A1" w:rsidP="001646A1">
            <w:pPr>
              <w:rPr>
                <w:w w:val="90"/>
                <w:sz w:val="20"/>
                <w:szCs w:val="20"/>
              </w:rPr>
            </w:pPr>
            <w:r w:rsidRPr="007E78FA">
              <w:rPr>
                <w:b/>
                <w:bCs/>
                <w:w w:val="90"/>
                <w:sz w:val="20"/>
                <w:szCs w:val="20"/>
              </w:rPr>
              <w:t>Title V Industrial Use</w:t>
            </w:r>
            <w:r w:rsidRPr="007E78FA">
              <w:rPr>
                <w:w w:val="90"/>
                <w:sz w:val="20"/>
                <w:szCs w:val="20"/>
              </w:rPr>
              <w:t xml:space="preserve">. The housing units are not located within 1,600 feet of a site that is currently a Title V industrial use, or where the most recent permitted use was a Title V industrial use. [Govt. Code </w:t>
            </w:r>
            <w:r w:rsidRPr="007E78FA">
              <w:rPr>
                <w:rFonts w:ascii="Calibri" w:hAnsi="Calibri" w:cs="Calibri"/>
                <w:w w:val="90"/>
                <w:sz w:val="20"/>
                <w:szCs w:val="20"/>
              </w:rPr>
              <w:t>§</w:t>
            </w:r>
            <w:r w:rsidRPr="007E78FA">
              <w:rPr>
                <w:w w:val="90"/>
                <w:sz w:val="20"/>
                <w:szCs w:val="20"/>
              </w:rPr>
              <w:t>65913.16(b)(11) &amp; (c)(7)(A) and (B)].</w:t>
            </w:r>
          </w:p>
        </w:tc>
        <w:sdt>
          <w:sdtPr>
            <w:rPr>
              <w:w w:val="90"/>
            </w:rPr>
            <w:id w:val="1529671550"/>
            <w14:checkbox>
              <w14:checked w14:val="0"/>
              <w14:checkedState w14:val="2612" w14:font="MS Gothic"/>
              <w14:uncheckedState w14:val="2610" w14:font="MS Gothic"/>
            </w14:checkbox>
          </w:sdtPr>
          <w:sdtEndPr/>
          <w:sdtContent>
            <w:tc>
              <w:tcPr>
                <w:tcW w:w="683" w:type="dxa"/>
              </w:tcPr>
              <w:p w14:paraId="00AE1B22" w14:textId="4D20EEB6"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942744545"/>
            <w14:checkbox>
              <w14:checked w14:val="0"/>
              <w14:checkedState w14:val="2612" w14:font="MS Gothic"/>
              <w14:uncheckedState w14:val="2610" w14:font="MS Gothic"/>
            </w14:checkbox>
          </w:sdtPr>
          <w:sdtEndPr/>
          <w:sdtContent>
            <w:tc>
              <w:tcPr>
                <w:tcW w:w="604" w:type="dxa"/>
              </w:tcPr>
              <w:p w14:paraId="325386AC" w14:textId="41C3A26C"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46EA7870" w14:textId="77777777" w:rsidTr="001646A1">
        <w:trPr>
          <w:trHeight w:val="20"/>
          <w:jc w:val="center"/>
        </w:trPr>
        <w:tc>
          <w:tcPr>
            <w:tcW w:w="569" w:type="dxa"/>
          </w:tcPr>
          <w:p w14:paraId="5AF6683D" w14:textId="77777777" w:rsidR="001646A1" w:rsidRPr="007E78FA" w:rsidRDefault="001646A1" w:rsidP="001646A1">
            <w:pPr>
              <w:rPr>
                <w:w w:val="90"/>
                <w:sz w:val="20"/>
                <w:szCs w:val="20"/>
              </w:rPr>
            </w:pPr>
            <w:r w:rsidRPr="007E78FA">
              <w:rPr>
                <w:w w:val="90"/>
                <w:sz w:val="20"/>
                <w:szCs w:val="20"/>
              </w:rPr>
              <w:t>10.</w:t>
            </w:r>
          </w:p>
        </w:tc>
        <w:tc>
          <w:tcPr>
            <w:tcW w:w="8224" w:type="dxa"/>
            <w:gridSpan w:val="2"/>
          </w:tcPr>
          <w:p w14:paraId="3A09D74F" w14:textId="77777777" w:rsidR="001646A1" w:rsidRPr="007E78FA" w:rsidRDefault="001646A1" w:rsidP="001646A1">
            <w:pPr>
              <w:rPr>
                <w:w w:val="90"/>
                <w:sz w:val="20"/>
                <w:szCs w:val="20"/>
              </w:rPr>
            </w:pPr>
            <w:r w:rsidRPr="007E78FA">
              <w:rPr>
                <w:b/>
                <w:bCs/>
                <w:w w:val="90"/>
                <w:sz w:val="20"/>
                <w:szCs w:val="20"/>
              </w:rPr>
              <w:t>Oil and Gas Facility</w:t>
            </w:r>
            <w:r w:rsidRPr="007E78FA">
              <w:rPr>
                <w:w w:val="90"/>
                <w:sz w:val="20"/>
                <w:szCs w:val="20"/>
              </w:rPr>
              <w:t xml:space="preserve">. For a site where multi-family housing is not an existing permitted use, the housing units are not within 3,200 feet of a facility that actively extracts or refines oil or natural gas. [Govt. Code </w:t>
            </w:r>
            <w:r w:rsidRPr="007E78FA">
              <w:rPr>
                <w:rFonts w:ascii="Calibri" w:hAnsi="Calibri" w:cs="Calibri"/>
                <w:w w:val="90"/>
                <w:sz w:val="20"/>
                <w:szCs w:val="20"/>
              </w:rPr>
              <w:t>§</w:t>
            </w:r>
            <w:r w:rsidRPr="007E78FA">
              <w:rPr>
                <w:w w:val="90"/>
                <w:sz w:val="20"/>
                <w:szCs w:val="20"/>
              </w:rPr>
              <w:t>65913.16(c)(8)].</w:t>
            </w:r>
          </w:p>
        </w:tc>
        <w:sdt>
          <w:sdtPr>
            <w:rPr>
              <w:w w:val="90"/>
            </w:rPr>
            <w:id w:val="-1823337044"/>
            <w14:checkbox>
              <w14:checked w14:val="0"/>
              <w14:checkedState w14:val="2612" w14:font="MS Gothic"/>
              <w14:uncheckedState w14:val="2610" w14:font="MS Gothic"/>
            </w14:checkbox>
          </w:sdtPr>
          <w:sdtEndPr/>
          <w:sdtContent>
            <w:tc>
              <w:tcPr>
                <w:tcW w:w="683" w:type="dxa"/>
              </w:tcPr>
              <w:p w14:paraId="2695C1CD" w14:textId="22BB411F"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069541000"/>
            <w14:checkbox>
              <w14:checked w14:val="0"/>
              <w14:checkedState w14:val="2612" w14:font="MS Gothic"/>
              <w14:uncheckedState w14:val="2610" w14:font="MS Gothic"/>
            </w14:checkbox>
          </w:sdtPr>
          <w:sdtEndPr/>
          <w:sdtContent>
            <w:tc>
              <w:tcPr>
                <w:tcW w:w="604" w:type="dxa"/>
              </w:tcPr>
              <w:p w14:paraId="5A388F9E" w14:textId="10FA2D16"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7F13A5B8" w14:textId="77777777" w:rsidTr="001066BE">
        <w:trPr>
          <w:trHeight w:val="20"/>
          <w:jc w:val="center"/>
        </w:trPr>
        <w:tc>
          <w:tcPr>
            <w:tcW w:w="569" w:type="dxa"/>
          </w:tcPr>
          <w:p w14:paraId="2C1B4AF0" w14:textId="77777777" w:rsidR="001646A1" w:rsidRPr="007E78FA" w:rsidRDefault="001646A1" w:rsidP="001646A1">
            <w:pPr>
              <w:rPr>
                <w:w w:val="90"/>
                <w:sz w:val="20"/>
                <w:szCs w:val="20"/>
              </w:rPr>
            </w:pPr>
            <w:r w:rsidRPr="007E78FA">
              <w:rPr>
                <w:w w:val="90"/>
                <w:sz w:val="20"/>
                <w:szCs w:val="20"/>
              </w:rPr>
              <w:t>11.</w:t>
            </w:r>
          </w:p>
        </w:tc>
        <w:tc>
          <w:tcPr>
            <w:tcW w:w="8224" w:type="dxa"/>
            <w:gridSpan w:val="2"/>
            <w:tcBorders>
              <w:bottom w:val="single" w:sz="4" w:space="0" w:color="auto"/>
            </w:tcBorders>
          </w:tcPr>
          <w:p w14:paraId="2E16A265" w14:textId="77777777" w:rsidR="001646A1" w:rsidRPr="007E78FA" w:rsidRDefault="001646A1" w:rsidP="001646A1">
            <w:pPr>
              <w:rPr>
                <w:w w:val="90"/>
                <w:sz w:val="20"/>
                <w:szCs w:val="20"/>
              </w:rPr>
            </w:pPr>
            <w:r w:rsidRPr="007E78FA">
              <w:rPr>
                <w:b/>
                <w:bCs/>
                <w:w w:val="90"/>
                <w:sz w:val="20"/>
                <w:szCs w:val="20"/>
              </w:rPr>
              <w:t>Qualified Developer</w:t>
            </w:r>
            <w:r w:rsidRPr="007E78FA">
              <w:rPr>
                <w:w w:val="90"/>
                <w:sz w:val="20"/>
                <w:szCs w:val="20"/>
              </w:rPr>
              <w:t xml:space="preserve">. The project will be developed by a “qualified developer” consisting of any of the following: (1) a local public entity; (2) a non-profit corporation, a limited partnership where a managing general partner is a non-profit corporation, or a limited liability company where a managing general partner is a non-profit corporation; (3) a developer that at the time of submission of an application for development owns property or manages housing units on property exempt from taxation pursuant to the welfare exemption; (4) a developer that contracts with a non-profit corporation that has received a welfare exemption; or (5) a developer that the religious or higher education institution has contracted with before to construct housing or other improvements to real property. [Govt. Code </w:t>
            </w:r>
            <w:r w:rsidRPr="007E78FA">
              <w:rPr>
                <w:rFonts w:ascii="Calibri" w:hAnsi="Calibri" w:cs="Calibri"/>
                <w:w w:val="90"/>
                <w:sz w:val="20"/>
                <w:szCs w:val="20"/>
              </w:rPr>
              <w:t>§</w:t>
            </w:r>
            <w:r w:rsidRPr="007E78FA">
              <w:rPr>
                <w:w w:val="90"/>
                <w:sz w:val="20"/>
                <w:szCs w:val="20"/>
              </w:rPr>
              <w:t>65913.16(b)(9)].</w:t>
            </w:r>
          </w:p>
        </w:tc>
        <w:sdt>
          <w:sdtPr>
            <w:rPr>
              <w:w w:val="90"/>
            </w:rPr>
            <w:id w:val="-669795607"/>
            <w14:checkbox>
              <w14:checked w14:val="0"/>
              <w14:checkedState w14:val="2612" w14:font="MS Gothic"/>
              <w14:uncheckedState w14:val="2610" w14:font="MS Gothic"/>
            </w14:checkbox>
          </w:sdtPr>
          <w:sdtEndPr/>
          <w:sdtContent>
            <w:tc>
              <w:tcPr>
                <w:tcW w:w="683" w:type="dxa"/>
              </w:tcPr>
              <w:p w14:paraId="3560C1ED" w14:textId="3207C4E9"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12292655"/>
            <w14:checkbox>
              <w14:checked w14:val="0"/>
              <w14:checkedState w14:val="2612" w14:font="MS Gothic"/>
              <w14:uncheckedState w14:val="2610" w14:font="MS Gothic"/>
            </w14:checkbox>
          </w:sdtPr>
          <w:sdtEndPr/>
          <w:sdtContent>
            <w:tc>
              <w:tcPr>
                <w:tcW w:w="604" w:type="dxa"/>
              </w:tcPr>
              <w:p w14:paraId="5BFC74A4" w14:textId="695CC60D"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0A8B4CFD" w14:textId="77777777" w:rsidTr="001066BE">
        <w:trPr>
          <w:trHeight w:val="20"/>
          <w:jc w:val="center"/>
        </w:trPr>
        <w:tc>
          <w:tcPr>
            <w:tcW w:w="569" w:type="dxa"/>
            <w:vMerge w:val="restart"/>
          </w:tcPr>
          <w:p w14:paraId="2FC9847F" w14:textId="77777777" w:rsidR="001646A1" w:rsidRPr="007E78FA" w:rsidRDefault="001646A1" w:rsidP="001646A1">
            <w:pPr>
              <w:rPr>
                <w:w w:val="90"/>
                <w:sz w:val="20"/>
                <w:szCs w:val="20"/>
              </w:rPr>
            </w:pPr>
            <w:r w:rsidRPr="007E78FA">
              <w:rPr>
                <w:w w:val="90"/>
                <w:sz w:val="20"/>
                <w:szCs w:val="20"/>
              </w:rPr>
              <w:t>12.</w:t>
            </w:r>
          </w:p>
        </w:tc>
        <w:tc>
          <w:tcPr>
            <w:tcW w:w="8224" w:type="dxa"/>
            <w:gridSpan w:val="2"/>
            <w:tcBorders>
              <w:bottom w:val="nil"/>
            </w:tcBorders>
          </w:tcPr>
          <w:p w14:paraId="60ECD154" w14:textId="77777777" w:rsidR="001646A1" w:rsidRPr="007E78FA" w:rsidRDefault="001646A1" w:rsidP="001646A1">
            <w:pPr>
              <w:rPr>
                <w:w w:val="90"/>
                <w:sz w:val="20"/>
                <w:szCs w:val="20"/>
              </w:rPr>
            </w:pPr>
            <w:r w:rsidRPr="007E78FA">
              <w:rPr>
                <w:b/>
                <w:bCs/>
                <w:w w:val="90"/>
                <w:sz w:val="20"/>
                <w:szCs w:val="20"/>
              </w:rPr>
              <w:t>Sensitive Areas</w:t>
            </w:r>
            <w:r w:rsidRPr="007E78FA">
              <w:rPr>
                <w:w w:val="90"/>
                <w:sz w:val="20"/>
                <w:szCs w:val="20"/>
              </w:rPr>
              <w:t xml:space="preserve">. The development is not located on a parcel that has any of the following. [Govt. Code </w:t>
            </w:r>
            <w:r w:rsidRPr="007E78FA">
              <w:rPr>
                <w:rFonts w:ascii="Calibri" w:hAnsi="Calibri" w:cs="Calibri"/>
                <w:w w:val="90"/>
                <w:sz w:val="20"/>
                <w:szCs w:val="20"/>
              </w:rPr>
              <w:t>§</w:t>
            </w:r>
            <w:r w:rsidRPr="007E78FA">
              <w:rPr>
                <w:w w:val="90"/>
                <w:sz w:val="20"/>
                <w:szCs w:val="20"/>
              </w:rPr>
              <w:t>65913.16(c)(3) and (4)]</w:t>
            </w:r>
          </w:p>
        </w:tc>
        <w:sdt>
          <w:sdtPr>
            <w:rPr>
              <w:w w:val="90"/>
            </w:rPr>
            <w:id w:val="-2104554460"/>
            <w14:checkbox>
              <w14:checked w14:val="0"/>
              <w14:checkedState w14:val="2612" w14:font="MS Gothic"/>
              <w14:uncheckedState w14:val="2610" w14:font="MS Gothic"/>
            </w14:checkbox>
          </w:sdtPr>
          <w:sdtEndPr/>
          <w:sdtContent>
            <w:tc>
              <w:tcPr>
                <w:tcW w:w="683" w:type="dxa"/>
                <w:vMerge w:val="restart"/>
              </w:tcPr>
              <w:p w14:paraId="78277182" w14:textId="3865586B"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334525306"/>
            <w14:checkbox>
              <w14:checked w14:val="0"/>
              <w14:checkedState w14:val="2612" w14:font="MS Gothic"/>
              <w14:uncheckedState w14:val="2610" w14:font="MS Gothic"/>
            </w14:checkbox>
          </w:sdtPr>
          <w:sdtEndPr/>
          <w:sdtContent>
            <w:tc>
              <w:tcPr>
                <w:tcW w:w="604" w:type="dxa"/>
                <w:vMerge w:val="restart"/>
              </w:tcPr>
              <w:p w14:paraId="1C3A7AF2" w14:textId="42A82C4A" w:rsidR="001646A1" w:rsidRPr="007E78FA" w:rsidRDefault="00735DEB" w:rsidP="00735DEB">
                <w:pPr>
                  <w:jc w:val="center"/>
                  <w:rPr>
                    <w:w w:val="90"/>
                  </w:rPr>
                </w:pPr>
                <w:r w:rsidRPr="007E78FA">
                  <w:rPr>
                    <w:rFonts w:ascii="MS Gothic" w:eastAsia="MS Gothic" w:hAnsi="MS Gothic"/>
                    <w:w w:val="90"/>
                  </w:rPr>
                  <w:t>☐</w:t>
                </w:r>
              </w:p>
            </w:tc>
          </w:sdtContent>
        </w:sdt>
      </w:tr>
      <w:tr w:rsidR="00C63284" w:rsidRPr="007E78FA" w14:paraId="43E67A6D" w14:textId="77777777" w:rsidTr="001066BE">
        <w:trPr>
          <w:trHeight w:val="20"/>
          <w:jc w:val="center"/>
        </w:trPr>
        <w:tc>
          <w:tcPr>
            <w:tcW w:w="569" w:type="dxa"/>
            <w:vMerge/>
          </w:tcPr>
          <w:p w14:paraId="1D154CCB" w14:textId="77777777" w:rsidR="00C63284" w:rsidRPr="007E78FA" w:rsidRDefault="00C63284">
            <w:pPr>
              <w:rPr>
                <w:w w:val="90"/>
                <w:sz w:val="20"/>
                <w:szCs w:val="20"/>
              </w:rPr>
            </w:pPr>
          </w:p>
        </w:tc>
        <w:tc>
          <w:tcPr>
            <w:tcW w:w="4112" w:type="dxa"/>
            <w:tcBorders>
              <w:top w:val="nil"/>
              <w:bottom w:val="nil"/>
              <w:right w:val="nil"/>
            </w:tcBorders>
          </w:tcPr>
          <w:p w14:paraId="552FDB24" w14:textId="77777777" w:rsidR="00C63284" w:rsidRPr="007E78FA" w:rsidRDefault="00C63284" w:rsidP="00C63284">
            <w:pPr>
              <w:pStyle w:val="ListParagraph"/>
              <w:numPr>
                <w:ilvl w:val="0"/>
                <w:numId w:val="11"/>
              </w:numPr>
              <w:ind w:left="433"/>
              <w:contextualSpacing/>
              <w:rPr>
                <w:w w:val="90"/>
                <w:sz w:val="20"/>
                <w:szCs w:val="20"/>
              </w:rPr>
            </w:pPr>
            <w:r w:rsidRPr="007E78FA">
              <w:rPr>
                <w:w w:val="90"/>
                <w:sz w:val="20"/>
                <w:szCs w:val="20"/>
              </w:rPr>
              <w:t>Prime farmland or farmland of statewide importance</w:t>
            </w:r>
          </w:p>
        </w:tc>
        <w:tc>
          <w:tcPr>
            <w:tcW w:w="4112" w:type="dxa"/>
            <w:tcBorders>
              <w:top w:val="nil"/>
              <w:left w:val="nil"/>
              <w:bottom w:val="nil"/>
            </w:tcBorders>
          </w:tcPr>
          <w:p w14:paraId="27F6D44A" w14:textId="77777777" w:rsidR="00C63284" w:rsidRPr="007E78FA" w:rsidRDefault="00C63284" w:rsidP="00C63284">
            <w:pPr>
              <w:pStyle w:val="ListParagraph"/>
              <w:numPr>
                <w:ilvl w:val="0"/>
                <w:numId w:val="11"/>
              </w:numPr>
              <w:ind w:left="345" w:hanging="345"/>
              <w:contextualSpacing/>
              <w:rPr>
                <w:w w:val="90"/>
                <w:sz w:val="20"/>
                <w:szCs w:val="20"/>
              </w:rPr>
            </w:pPr>
            <w:r w:rsidRPr="007E78FA">
              <w:rPr>
                <w:w w:val="90"/>
                <w:sz w:val="20"/>
                <w:szCs w:val="20"/>
              </w:rPr>
              <w:t>Protected species habitat</w:t>
            </w:r>
          </w:p>
        </w:tc>
        <w:tc>
          <w:tcPr>
            <w:tcW w:w="683" w:type="dxa"/>
            <w:vMerge/>
          </w:tcPr>
          <w:p w14:paraId="433AD70D" w14:textId="77777777" w:rsidR="00C63284" w:rsidRPr="007E78FA" w:rsidRDefault="00C63284" w:rsidP="00735DEB">
            <w:pPr>
              <w:jc w:val="center"/>
              <w:rPr>
                <w:w w:val="90"/>
              </w:rPr>
            </w:pPr>
          </w:p>
        </w:tc>
        <w:tc>
          <w:tcPr>
            <w:tcW w:w="604" w:type="dxa"/>
            <w:vMerge/>
          </w:tcPr>
          <w:p w14:paraId="4358E218" w14:textId="77777777" w:rsidR="00C63284" w:rsidRPr="007E78FA" w:rsidRDefault="00C63284" w:rsidP="00735DEB">
            <w:pPr>
              <w:jc w:val="center"/>
              <w:rPr>
                <w:w w:val="90"/>
              </w:rPr>
            </w:pPr>
          </w:p>
        </w:tc>
      </w:tr>
      <w:tr w:rsidR="00C63284" w:rsidRPr="007E78FA" w14:paraId="43849D09" w14:textId="77777777" w:rsidTr="001A46A2">
        <w:trPr>
          <w:trHeight w:val="20"/>
          <w:jc w:val="center"/>
        </w:trPr>
        <w:tc>
          <w:tcPr>
            <w:tcW w:w="569" w:type="dxa"/>
            <w:vMerge/>
          </w:tcPr>
          <w:p w14:paraId="7BF37AEA" w14:textId="77777777" w:rsidR="00C63284" w:rsidRPr="007E78FA" w:rsidRDefault="00C63284">
            <w:pPr>
              <w:rPr>
                <w:w w:val="90"/>
                <w:sz w:val="20"/>
                <w:szCs w:val="20"/>
              </w:rPr>
            </w:pPr>
          </w:p>
        </w:tc>
        <w:tc>
          <w:tcPr>
            <w:tcW w:w="4112" w:type="dxa"/>
            <w:tcBorders>
              <w:top w:val="nil"/>
              <w:bottom w:val="nil"/>
              <w:right w:val="nil"/>
            </w:tcBorders>
          </w:tcPr>
          <w:p w14:paraId="46BF629C" w14:textId="77777777" w:rsidR="00C63284" w:rsidRPr="007E78FA" w:rsidRDefault="00C63284" w:rsidP="00C63284">
            <w:pPr>
              <w:pStyle w:val="ListParagraph"/>
              <w:numPr>
                <w:ilvl w:val="0"/>
                <w:numId w:val="11"/>
              </w:numPr>
              <w:ind w:left="433"/>
              <w:contextualSpacing/>
              <w:rPr>
                <w:w w:val="90"/>
                <w:sz w:val="20"/>
                <w:szCs w:val="20"/>
              </w:rPr>
            </w:pPr>
            <w:r w:rsidRPr="007E78FA">
              <w:rPr>
                <w:w w:val="90"/>
                <w:sz w:val="20"/>
                <w:szCs w:val="20"/>
              </w:rPr>
              <w:t>Wetlands as defined under federal law</w:t>
            </w:r>
          </w:p>
        </w:tc>
        <w:tc>
          <w:tcPr>
            <w:tcW w:w="4112" w:type="dxa"/>
            <w:tcBorders>
              <w:top w:val="nil"/>
              <w:left w:val="nil"/>
              <w:bottom w:val="nil"/>
            </w:tcBorders>
          </w:tcPr>
          <w:p w14:paraId="3736E166" w14:textId="77777777" w:rsidR="00C63284" w:rsidRPr="007E78FA" w:rsidRDefault="00C63284" w:rsidP="00C63284">
            <w:pPr>
              <w:pStyle w:val="ListParagraph"/>
              <w:numPr>
                <w:ilvl w:val="0"/>
                <w:numId w:val="11"/>
              </w:numPr>
              <w:ind w:left="345" w:hanging="345"/>
              <w:contextualSpacing/>
              <w:rPr>
                <w:w w:val="90"/>
                <w:sz w:val="20"/>
                <w:szCs w:val="20"/>
              </w:rPr>
            </w:pPr>
            <w:r w:rsidRPr="007E78FA">
              <w:rPr>
                <w:w w:val="90"/>
                <w:sz w:val="20"/>
                <w:szCs w:val="20"/>
              </w:rPr>
              <w:t>Land under a conservation easement</w:t>
            </w:r>
          </w:p>
        </w:tc>
        <w:tc>
          <w:tcPr>
            <w:tcW w:w="683" w:type="dxa"/>
            <w:vMerge/>
          </w:tcPr>
          <w:p w14:paraId="4F71E104" w14:textId="77777777" w:rsidR="00C63284" w:rsidRPr="007E78FA" w:rsidRDefault="00C63284" w:rsidP="00735DEB">
            <w:pPr>
              <w:jc w:val="center"/>
              <w:rPr>
                <w:w w:val="90"/>
              </w:rPr>
            </w:pPr>
          </w:p>
        </w:tc>
        <w:tc>
          <w:tcPr>
            <w:tcW w:w="604" w:type="dxa"/>
            <w:vMerge/>
          </w:tcPr>
          <w:p w14:paraId="5ED243EC" w14:textId="77777777" w:rsidR="00C63284" w:rsidRPr="007E78FA" w:rsidRDefault="00C63284" w:rsidP="00735DEB">
            <w:pPr>
              <w:jc w:val="center"/>
              <w:rPr>
                <w:w w:val="90"/>
              </w:rPr>
            </w:pPr>
          </w:p>
        </w:tc>
      </w:tr>
      <w:tr w:rsidR="00C63284" w:rsidRPr="007E78FA" w14:paraId="78A0427C" w14:textId="77777777" w:rsidTr="007A032C">
        <w:trPr>
          <w:trHeight w:val="20"/>
          <w:jc w:val="center"/>
        </w:trPr>
        <w:tc>
          <w:tcPr>
            <w:tcW w:w="569" w:type="dxa"/>
            <w:vMerge/>
          </w:tcPr>
          <w:p w14:paraId="5189361D" w14:textId="77777777" w:rsidR="00C63284" w:rsidRPr="007E78FA" w:rsidRDefault="00C63284">
            <w:pPr>
              <w:rPr>
                <w:w w:val="90"/>
                <w:sz w:val="20"/>
                <w:szCs w:val="20"/>
              </w:rPr>
            </w:pPr>
          </w:p>
        </w:tc>
        <w:tc>
          <w:tcPr>
            <w:tcW w:w="4112" w:type="dxa"/>
            <w:tcBorders>
              <w:top w:val="nil"/>
              <w:bottom w:val="nil"/>
              <w:right w:val="nil"/>
            </w:tcBorders>
          </w:tcPr>
          <w:p w14:paraId="17EDDA31" w14:textId="77777777" w:rsidR="00C63284" w:rsidRPr="007E78FA" w:rsidRDefault="00C63284" w:rsidP="00C63284">
            <w:pPr>
              <w:pStyle w:val="ListParagraph"/>
              <w:numPr>
                <w:ilvl w:val="0"/>
                <w:numId w:val="11"/>
              </w:numPr>
              <w:ind w:left="433"/>
              <w:contextualSpacing/>
              <w:rPr>
                <w:w w:val="90"/>
                <w:sz w:val="20"/>
                <w:szCs w:val="20"/>
              </w:rPr>
            </w:pPr>
            <w:r w:rsidRPr="007E78FA">
              <w:rPr>
                <w:w w:val="90"/>
                <w:sz w:val="20"/>
                <w:szCs w:val="20"/>
              </w:rPr>
              <w:t>Earthquake fault zones</w:t>
            </w:r>
          </w:p>
        </w:tc>
        <w:tc>
          <w:tcPr>
            <w:tcW w:w="4112" w:type="dxa"/>
            <w:tcBorders>
              <w:top w:val="nil"/>
              <w:left w:val="nil"/>
              <w:bottom w:val="nil"/>
            </w:tcBorders>
          </w:tcPr>
          <w:p w14:paraId="1AD8539C" w14:textId="77777777" w:rsidR="00C63284" w:rsidRPr="007E78FA" w:rsidRDefault="00C63284" w:rsidP="00C63284">
            <w:pPr>
              <w:pStyle w:val="ListParagraph"/>
              <w:numPr>
                <w:ilvl w:val="0"/>
                <w:numId w:val="11"/>
              </w:numPr>
              <w:ind w:left="345" w:hanging="345"/>
              <w:contextualSpacing/>
              <w:rPr>
                <w:w w:val="90"/>
                <w:sz w:val="20"/>
                <w:szCs w:val="20"/>
              </w:rPr>
            </w:pPr>
            <w:r w:rsidRPr="007E78FA">
              <w:rPr>
                <w:w w:val="90"/>
                <w:sz w:val="20"/>
                <w:szCs w:val="20"/>
              </w:rPr>
              <w:t>Land designated for conservation in a habitat conservation plan</w:t>
            </w:r>
          </w:p>
        </w:tc>
        <w:tc>
          <w:tcPr>
            <w:tcW w:w="683" w:type="dxa"/>
            <w:vMerge/>
          </w:tcPr>
          <w:p w14:paraId="780C37EC" w14:textId="77777777" w:rsidR="00C63284" w:rsidRPr="007E78FA" w:rsidRDefault="00C63284" w:rsidP="00735DEB">
            <w:pPr>
              <w:jc w:val="center"/>
              <w:rPr>
                <w:w w:val="90"/>
              </w:rPr>
            </w:pPr>
          </w:p>
        </w:tc>
        <w:tc>
          <w:tcPr>
            <w:tcW w:w="604" w:type="dxa"/>
            <w:vMerge/>
          </w:tcPr>
          <w:p w14:paraId="07CA580B" w14:textId="77777777" w:rsidR="00C63284" w:rsidRPr="007E78FA" w:rsidRDefault="00C63284" w:rsidP="00735DEB">
            <w:pPr>
              <w:jc w:val="center"/>
              <w:rPr>
                <w:w w:val="90"/>
              </w:rPr>
            </w:pPr>
          </w:p>
        </w:tc>
      </w:tr>
      <w:tr w:rsidR="00C63284" w:rsidRPr="007E78FA" w14:paraId="5A95DCE8" w14:textId="77777777" w:rsidTr="007A032C">
        <w:trPr>
          <w:trHeight w:val="20"/>
          <w:jc w:val="center"/>
        </w:trPr>
        <w:tc>
          <w:tcPr>
            <w:tcW w:w="569" w:type="dxa"/>
            <w:vMerge/>
          </w:tcPr>
          <w:p w14:paraId="37237A7F" w14:textId="77777777" w:rsidR="00C63284" w:rsidRPr="007E78FA" w:rsidRDefault="00C63284">
            <w:pPr>
              <w:rPr>
                <w:w w:val="90"/>
                <w:sz w:val="20"/>
                <w:szCs w:val="20"/>
              </w:rPr>
            </w:pPr>
          </w:p>
        </w:tc>
        <w:tc>
          <w:tcPr>
            <w:tcW w:w="4112" w:type="dxa"/>
            <w:tcBorders>
              <w:top w:val="nil"/>
              <w:bottom w:val="nil"/>
              <w:right w:val="nil"/>
            </w:tcBorders>
          </w:tcPr>
          <w:p w14:paraId="671F1FE5" w14:textId="77777777" w:rsidR="00C63284" w:rsidRPr="007E78FA" w:rsidRDefault="00C63284" w:rsidP="00C63284">
            <w:pPr>
              <w:pStyle w:val="ListParagraph"/>
              <w:numPr>
                <w:ilvl w:val="0"/>
                <w:numId w:val="11"/>
              </w:numPr>
              <w:ind w:left="433"/>
              <w:contextualSpacing/>
              <w:rPr>
                <w:w w:val="90"/>
                <w:sz w:val="20"/>
                <w:szCs w:val="20"/>
              </w:rPr>
            </w:pPr>
            <w:r w:rsidRPr="007E78FA">
              <w:rPr>
                <w:w w:val="90"/>
                <w:sz w:val="20"/>
                <w:szCs w:val="20"/>
              </w:rPr>
              <w:t xml:space="preserve">High or very high hazard severity zones, except where sites are excluded by a local agency pursuant to Govt. Code </w:t>
            </w:r>
            <w:r w:rsidRPr="007E78FA">
              <w:rPr>
                <w:rFonts w:ascii="Calibri" w:hAnsi="Calibri" w:cs="Calibri"/>
                <w:w w:val="90"/>
                <w:sz w:val="20"/>
                <w:szCs w:val="20"/>
              </w:rPr>
              <w:t>§</w:t>
            </w:r>
            <w:r w:rsidRPr="007E78FA">
              <w:rPr>
                <w:w w:val="90"/>
                <w:sz w:val="20"/>
                <w:szCs w:val="20"/>
              </w:rPr>
              <w:t xml:space="preserve">51179(b), or sites that have adopted fire hazard mitigation measures per existing building standards or state fire mitigation measures applicable to the development. [Govt. Code </w:t>
            </w:r>
            <w:r w:rsidRPr="007E78FA">
              <w:rPr>
                <w:rFonts w:ascii="Calibri" w:hAnsi="Calibri" w:cs="Calibri"/>
                <w:w w:val="90"/>
                <w:sz w:val="20"/>
                <w:szCs w:val="20"/>
              </w:rPr>
              <w:t>§65913.5(a)(6)(C)]</w:t>
            </w:r>
          </w:p>
        </w:tc>
        <w:tc>
          <w:tcPr>
            <w:tcW w:w="4112" w:type="dxa"/>
            <w:tcBorders>
              <w:top w:val="nil"/>
              <w:left w:val="nil"/>
              <w:bottom w:val="nil"/>
            </w:tcBorders>
          </w:tcPr>
          <w:p w14:paraId="30177227" w14:textId="77777777" w:rsidR="00C63284" w:rsidRPr="007E78FA" w:rsidRDefault="00C63284" w:rsidP="00C63284">
            <w:pPr>
              <w:pStyle w:val="ListParagraph"/>
              <w:numPr>
                <w:ilvl w:val="0"/>
                <w:numId w:val="11"/>
              </w:numPr>
              <w:ind w:left="345" w:hanging="345"/>
              <w:contextualSpacing/>
              <w:rPr>
                <w:w w:val="90"/>
                <w:sz w:val="20"/>
                <w:szCs w:val="20"/>
              </w:rPr>
            </w:pPr>
            <w:r w:rsidRPr="007E78FA">
              <w:rPr>
                <w:w w:val="90"/>
                <w:sz w:val="20"/>
                <w:szCs w:val="20"/>
              </w:rPr>
              <w:t>A site that would require the demolition of (a) housing subject to recorded rent restrictions, (b) housing subject to rent control, (c) housing occupied by tenants within the past 10 years, or (d) an historic structure placed on a local, state or federal register</w:t>
            </w:r>
          </w:p>
        </w:tc>
        <w:tc>
          <w:tcPr>
            <w:tcW w:w="683" w:type="dxa"/>
            <w:vMerge/>
          </w:tcPr>
          <w:p w14:paraId="0E831378" w14:textId="77777777" w:rsidR="00C63284" w:rsidRPr="007E78FA" w:rsidRDefault="00C63284" w:rsidP="00735DEB">
            <w:pPr>
              <w:jc w:val="center"/>
              <w:rPr>
                <w:w w:val="90"/>
              </w:rPr>
            </w:pPr>
          </w:p>
        </w:tc>
        <w:tc>
          <w:tcPr>
            <w:tcW w:w="604" w:type="dxa"/>
            <w:vMerge/>
          </w:tcPr>
          <w:p w14:paraId="558E9924" w14:textId="77777777" w:rsidR="00C63284" w:rsidRPr="007E78FA" w:rsidRDefault="00C63284" w:rsidP="00735DEB">
            <w:pPr>
              <w:jc w:val="center"/>
              <w:rPr>
                <w:w w:val="90"/>
              </w:rPr>
            </w:pPr>
          </w:p>
        </w:tc>
      </w:tr>
      <w:tr w:rsidR="001066BE" w:rsidRPr="007E78FA" w14:paraId="4F74BCE1" w14:textId="77777777" w:rsidTr="007A032C">
        <w:trPr>
          <w:trHeight w:val="847"/>
          <w:jc w:val="center"/>
        </w:trPr>
        <w:tc>
          <w:tcPr>
            <w:tcW w:w="569" w:type="dxa"/>
            <w:vMerge/>
          </w:tcPr>
          <w:p w14:paraId="4248A086" w14:textId="77777777" w:rsidR="001066BE" w:rsidRPr="007E78FA" w:rsidRDefault="001066BE">
            <w:pPr>
              <w:rPr>
                <w:w w:val="90"/>
                <w:sz w:val="20"/>
                <w:szCs w:val="20"/>
              </w:rPr>
            </w:pPr>
          </w:p>
        </w:tc>
        <w:tc>
          <w:tcPr>
            <w:tcW w:w="4112" w:type="dxa"/>
            <w:tcBorders>
              <w:top w:val="nil"/>
              <w:right w:val="nil"/>
            </w:tcBorders>
          </w:tcPr>
          <w:p w14:paraId="53DD5408" w14:textId="77777777" w:rsidR="001066BE" w:rsidRPr="007E78FA" w:rsidRDefault="001066BE" w:rsidP="001066BE">
            <w:pPr>
              <w:pStyle w:val="ListParagraph"/>
              <w:numPr>
                <w:ilvl w:val="0"/>
                <w:numId w:val="11"/>
              </w:numPr>
              <w:spacing w:after="60"/>
              <w:ind w:left="432" w:hanging="274"/>
              <w:rPr>
                <w:w w:val="90"/>
                <w:sz w:val="20"/>
                <w:szCs w:val="20"/>
              </w:rPr>
            </w:pPr>
            <w:r w:rsidRPr="007E78FA">
              <w:rPr>
                <w:w w:val="90"/>
                <w:sz w:val="20"/>
                <w:szCs w:val="20"/>
              </w:rPr>
              <w:t>Hazardous waste site</w:t>
            </w:r>
          </w:p>
          <w:p w14:paraId="77431243" w14:textId="0082C09B" w:rsidR="001066BE" w:rsidRPr="007E78FA" w:rsidRDefault="001066BE" w:rsidP="00C63284">
            <w:pPr>
              <w:pStyle w:val="ListParagraph"/>
              <w:numPr>
                <w:ilvl w:val="0"/>
                <w:numId w:val="11"/>
              </w:numPr>
              <w:ind w:left="433" w:hanging="270"/>
              <w:contextualSpacing/>
              <w:rPr>
                <w:w w:val="90"/>
                <w:sz w:val="20"/>
                <w:szCs w:val="20"/>
              </w:rPr>
            </w:pPr>
            <w:r w:rsidRPr="007E78FA">
              <w:rPr>
                <w:w w:val="90"/>
                <w:sz w:val="20"/>
                <w:szCs w:val="20"/>
              </w:rPr>
              <w:t>FEMA designated flood plain or floodway</w:t>
            </w:r>
          </w:p>
        </w:tc>
        <w:tc>
          <w:tcPr>
            <w:tcW w:w="4112" w:type="dxa"/>
            <w:tcBorders>
              <w:top w:val="nil"/>
              <w:left w:val="nil"/>
            </w:tcBorders>
          </w:tcPr>
          <w:p w14:paraId="63208F85" w14:textId="77777777" w:rsidR="001066BE" w:rsidRPr="007E78FA" w:rsidRDefault="001066BE" w:rsidP="00C63284">
            <w:pPr>
              <w:pStyle w:val="ListParagraph"/>
              <w:numPr>
                <w:ilvl w:val="0"/>
                <w:numId w:val="12"/>
              </w:numPr>
              <w:ind w:left="345" w:hanging="345"/>
              <w:contextualSpacing/>
              <w:rPr>
                <w:w w:val="90"/>
                <w:sz w:val="20"/>
                <w:szCs w:val="20"/>
              </w:rPr>
            </w:pPr>
            <w:r w:rsidRPr="007E78FA">
              <w:rPr>
                <w:w w:val="90"/>
                <w:sz w:val="20"/>
                <w:szCs w:val="20"/>
              </w:rPr>
              <w:t>A site that previously contained housing occupied by tenants within the past 10 years</w:t>
            </w:r>
          </w:p>
        </w:tc>
        <w:tc>
          <w:tcPr>
            <w:tcW w:w="683" w:type="dxa"/>
            <w:vMerge/>
          </w:tcPr>
          <w:p w14:paraId="732ED2D4" w14:textId="77777777" w:rsidR="001066BE" w:rsidRPr="007E78FA" w:rsidRDefault="001066BE" w:rsidP="00735DEB">
            <w:pPr>
              <w:jc w:val="center"/>
              <w:rPr>
                <w:w w:val="90"/>
              </w:rPr>
            </w:pPr>
          </w:p>
        </w:tc>
        <w:tc>
          <w:tcPr>
            <w:tcW w:w="604" w:type="dxa"/>
            <w:vMerge/>
          </w:tcPr>
          <w:p w14:paraId="665B1656" w14:textId="77777777" w:rsidR="001066BE" w:rsidRPr="007E78FA" w:rsidRDefault="001066BE" w:rsidP="00735DEB">
            <w:pPr>
              <w:jc w:val="center"/>
              <w:rPr>
                <w:w w:val="90"/>
              </w:rPr>
            </w:pPr>
          </w:p>
        </w:tc>
      </w:tr>
      <w:tr w:rsidR="001646A1" w:rsidRPr="007E78FA" w14:paraId="1858192F" w14:textId="77777777" w:rsidTr="001646A1">
        <w:trPr>
          <w:trHeight w:val="20"/>
          <w:jc w:val="center"/>
        </w:trPr>
        <w:tc>
          <w:tcPr>
            <w:tcW w:w="569" w:type="dxa"/>
          </w:tcPr>
          <w:p w14:paraId="553CF719" w14:textId="77777777" w:rsidR="001646A1" w:rsidRPr="007E78FA" w:rsidRDefault="001646A1" w:rsidP="00735DEB">
            <w:pPr>
              <w:keepLines/>
              <w:rPr>
                <w:w w:val="90"/>
                <w:sz w:val="20"/>
                <w:szCs w:val="20"/>
              </w:rPr>
            </w:pPr>
            <w:r w:rsidRPr="007E78FA">
              <w:rPr>
                <w:w w:val="90"/>
                <w:sz w:val="20"/>
                <w:szCs w:val="20"/>
              </w:rPr>
              <w:lastRenderedPageBreak/>
              <w:t>13.</w:t>
            </w:r>
          </w:p>
        </w:tc>
        <w:tc>
          <w:tcPr>
            <w:tcW w:w="8224" w:type="dxa"/>
            <w:gridSpan w:val="2"/>
          </w:tcPr>
          <w:p w14:paraId="1EE0636F" w14:textId="77777777" w:rsidR="001646A1" w:rsidRPr="007E78FA" w:rsidRDefault="001646A1" w:rsidP="00735DEB">
            <w:pPr>
              <w:keepLines/>
              <w:rPr>
                <w:w w:val="90"/>
                <w:sz w:val="20"/>
                <w:szCs w:val="20"/>
              </w:rPr>
            </w:pPr>
            <w:r w:rsidRPr="007E78FA">
              <w:rPr>
                <w:b/>
                <w:bCs/>
                <w:w w:val="90"/>
                <w:sz w:val="20"/>
                <w:szCs w:val="20"/>
              </w:rPr>
              <w:t xml:space="preserve">Demolition of Housing. </w:t>
            </w:r>
            <w:r w:rsidRPr="007E78FA">
              <w:rPr>
                <w:w w:val="90"/>
                <w:sz w:val="20"/>
                <w:szCs w:val="20"/>
              </w:rPr>
              <w:t xml:space="preserve">If the project requires the demolition of existing residential units, or is located on a site where residential units have been demolished within the last 5 years, all of the following apply: (1) the project creates at least as many units as will be demolished; (2) the project includes at least as many units that existed on the site within the last 5 years; (3) any existing occupants will be allowed to occupy their units until 6 months before the start of construction activities with proper notice; (4) any existing occupants that are required to leave their units are allowed to return at their prior rental rate if the demolition does not proceed and the property is returned to the rental market; and (5) the developer agrees to provide relocation benefits to the existing occupants of any protected units that are lower income households, and a right of first refusal for a comparable unit available in the new housing development affordable to the household at an affordable rent or housing cost, except that the following are exempted from the right of first refusal: a project that consists of a single-family residential unit on a site where a single protected unit is being demolished; and units in a housing development where 100% of the units, exclusive of managers’ units, are reserved for lower-income household. [Govt. Code </w:t>
            </w:r>
            <w:r w:rsidRPr="007E78FA">
              <w:rPr>
                <w:rFonts w:ascii="Calibri" w:hAnsi="Calibri" w:cs="Calibri"/>
                <w:w w:val="90"/>
                <w:sz w:val="20"/>
                <w:szCs w:val="20"/>
              </w:rPr>
              <w:t>§</w:t>
            </w:r>
            <w:r w:rsidRPr="007E78FA">
              <w:rPr>
                <w:w w:val="90"/>
                <w:sz w:val="20"/>
                <w:szCs w:val="20"/>
              </w:rPr>
              <w:t>65913.16(c)(11)].</w:t>
            </w:r>
          </w:p>
        </w:tc>
        <w:sdt>
          <w:sdtPr>
            <w:rPr>
              <w:w w:val="90"/>
            </w:rPr>
            <w:id w:val="-650674787"/>
            <w14:checkbox>
              <w14:checked w14:val="0"/>
              <w14:checkedState w14:val="2612" w14:font="MS Gothic"/>
              <w14:uncheckedState w14:val="2610" w14:font="MS Gothic"/>
            </w14:checkbox>
          </w:sdtPr>
          <w:sdtEndPr/>
          <w:sdtContent>
            <w:tc>
              <w:tcPr>
                <w:tcW w:w="683" w:type="dxa"/>
              </w:tcPr>
              <w:p w14:paraId="21535BA3" w14:textId="62423B67" w:rsidR="001646A1" w:rsidRPr="007E78FA" w:rsidRDefault="00735DEB" w:rsidP="00735DEB">
                <w:pPr>
                  <w:keepLines/>
                  <w:jc w:val="center"/>
                  <w:rPr>
                    <w:w w:val="90"/>
                  </w:rPr>
                </w:pPr>
                <w:r w:rsidRPr="007E78FA">
                  <w:rPr>
                    <w:rFonts w:ascii="MS Gothic" w:eastAsia="MS Gothic" w:hAnsi="MS Gothic"/>
                    <w:w w:val="90"/>
                  </w:rPr>
                  <w:t>☐</w:t>
                </w:r>
              </w:p>
            </w:tc>
          </w:sdtContent>
        </w:sdt>
        <w:sdt>
          <w:sdtPr>
            <w:rPr>
              <w:w w:val="90"/>
            </w:rPr>
            <w:id w:val="-1234774396"/>
            <w14:checkbox>
              <w14:checked w14:val="0"/>
              <w14:checkedState w14:val="2612" w14:font="MS Gothic"/>
              <w14:uncheckedState w14:val="2610" w14:font="MS Gothic"/>
            </w14:checkbox>
          </w:sdtPr>
          <w:sdtEndPr/>
          <w:sdtContent>
            <w:tc>
              <w:tcPr>
                <w:tcW w:w="604" w:type="dxa"/>
              </w:tcPr>
              <w:p w14:paraId="15EF4C8A" w14:textId="22AF9324" w:rsidR="001646A1" w:rsidRPr="007E78FA" w:rsidRDefault="00735DEB" w:rsidP="00735DEB">
                <w:pPr>
                  <w:keepLines/>
                  <w:jc w:val="center"/>
                  <w:rPr>
                    <w:w w:val="90"/>
                  </w:rPr>
                </w:pPr>
                <w:r w:rsidRPr="007E78FA">
                  <w:rPr>
                    <w:rFonts w:ascii="MS Gothic" w:eastAsia="MS Gothic" w:hAnsi="MS Gothic"/>
                    <w:w w:val="90"/>
                  </w:rPr>
                  <w:t>☐</w:t>
                </w:r>
              </w:p>
            </w:tc>
          </w:sdtContent>
        </w:sdt>
      </w:tr>
      <w:tr w:rsidR="001646A1" w:rsidRPr="007E78FA" w14:paraId="14187C00" w14:textId="77777777" w:rsidTr="001646A1">
        <w:trPr>
          <w:trHeight w:val="20"/>
          <w:jc w:val="center"/>
        </w:trPr>
        <w:tc>
          <w:tcPr>
            <w:tcW w:w="569" w:type="dxa"/>
          </w:tcPr>
          <w:p w14:paraId="06CAEBC1" w14:textId="77777777" w:rsidR="001646A1" w:rsidRPr="007E78FA" w:rsidRDefault="001646A1" w:rsidP="001646A1">
            <w:pPr>
              <w:rPr>
                <w:w w:val="90"/>
                <w:sz w:val="20"/>
                <w:szCs w:val="20"/>
              </w:rPr>
            </w:pPr>
            <w:r w:rsidRPr="007E78FA">
              <w:rPr>
                <w:w w:val="90"/>
                <w:sz w:val="20"/>
                <w:szCs w:val="20"/>
              </w:rPr>
              <w:t>14.</w:t>
            </w:r>
          </w:p>
        </w:tc>
        <w:tc>
          <w:tcPr>
            <w:tcW w:w="8224" w:type="dxa"/>
            <w:gridSpan w:val="2"/>
          </w:tcPr>
          <w:p w14:paraId="31C31020" w14:textId="77777777" w:rsidR="001646A1" w:rsidRPr="007E78FA" w:rsidRDefault="001646A1" w:rsidP="001646A1">
            <w:pPr>
              <w:rPr>
                <w:w w:val="90"/>
                <w:sz w:val="20"/>
                <w:szCs w:val="20"/>
              </w:rPr>
            </w:pPr>
            <w:r w:rsidRPr="007E78FA">
              <w:rPr>
                <w:b/>
                <w:bCs/>
                <w:w w:val="90"/>
                <w:sz w:val="20"/>
                <w:szCs w:val="20"/>
              </w:rPr>
              <w:t>Objective Standards</w:t>
            </w:r>
            <w:r w:rsidRPr="007E78FA">
              <w:rPr>
                <w:w w:val="90"/>
                <w:sz w:val="20"/>
                <w:szCs w:val="20"/>
              </w:rPr>
              <w:t xml:space="preserve">. The project meets the objective design and development standards, and objective subdivision standards, established by the city. [Govt. Code </w:t>
            </w:r>
            <w:r w:rsidRPr="007E78FA">
              <w:rPr>
                <w:rFonts w:ascii="Calibri" w:hAnsi="Calibri" w:cs="Calibri"/>
                <w:w w:val="90"/>
                <w:sz w:val="20"/>
                <w:szCs w:val="20"/>
              </w:rPr>
              <w:t>§</w:t>
            </w:r>
            <w:r w:rsidRPr="007E78FA">
              <w:rPr>
                <w:w w:val="90"/>
                <w:sz w:val="20"/>
                <w:szCs w:val="20"/>
              </w:rPr>
              <w:t xml:space="preserve">65913.16(c)(10)]. </w:t>
            </w:r>
            <w:r w:rsidRPr="007E78FA">
              <w:rPr>
                <w:w w:val="90"/>
                <w:sz w:val="20"/>
                <w:szCs w:val="20"/>
                <w:highlight w:val="yellow"/>
              </w:rPr>
              <w:t>[Note to cities: Consider referencing Code section or other location where these standards can be found].</w:t>
            </w:r>
          </w:p>
        </w:tc>
        <w:sdt>
          <w:sdtPr>
            <w:rPr>
              <w:w w:val="90"/>
            </w:rPr>
            <w:id w:val="1804267355"/>
            <w14:checkbox>
              <w14:checked w14:val="0"/>
              <w14:checkedState w14:val="2612" w14:font="MS Gothic"/>
              <w14:uncheckedState w14:val="2610" w14:font="MS Gothic"/>
            </w14:checkbox>
          </w:sdtPr>
          <w:sdtEndPr/>
          <w:sdtContent>
            <w:tc>
              <w:tcPr>
                <w:tcW w:w="683" w:type="dxa"/>
              </w:tcPr>
              <w:p w14:paraId="234E5A44" w14:textId="5111AE33"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576213464"/>
            <w14:checkbox>
              <w14:checked w14:val="0"/>
              <w14:checkedState w14:val="2612" w14:font="MS Gothic"/>
              <w14:uncheckedState w14:val="2610" w14:font="MS Gothic"/>
            </w14:checkbox>
          </w:sdtPr>
          <w:sdtEndPr/>
          <w:sdtContent>
            <w:tc>
              <w:tcPr>
                <w:tcW w:w="604" w:type="dxa"/>
              </w:tcPr>
              <w:p w14:paraId="0FE9B6DA" w14:textId="1B52ABBE"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092433A8" w14:textId="77777777" w:rsidTr="001646A1">
        <w:trPr>
          <w:trHeight w:val="20"/>
          <w:jc w:val="center"/>
        </w:trPr>
        <w:tc>
          <w:tcPr>
            <w:tcW w:w="569" w:type="dxa"/>
          </w:tcPr>
          <w:p w14:paraId="0A59C553" w14:textId="77777777" w:rsidR="001646A1" w:rsidRPr="007E78FA" w:rsidRDefault="001646A1" w:rsidP="001646A1">
            <w:pPr>
              <w:rPr>
                <w:w w:val="90"/>
                <w:sz w:val="20"/>
                <w:szCs w:val="20"/>
              </w:rPr>
            </w:pPr>
            <w:r w:rsidRPr="007E78FA">
              <w:rPr>
                <w:w w:val="90"/>
                <w:sz w:val="20"/>
                <w:szCs w:val="20"/>
              </w:rPr>
              <w:t>15.</w:t>
            </w:r>
          </w:p>
        </w:tc>
        <w:tc>
          <w:tcPr>
            <w:tcW w:w="8224" w:type="dxa"/>
            <w:gridSpan w:val="2"/>
          </w:tcPr>
          <w:p w14:paraId="10233923" w14:textId="3C7F3ABB" w:rsidR="001646A1" w:rsidRPr="007E78FA" w:rsidRDefault="001646A1" w:rsidP="001646A1">
            <w:pPr>
              <w:rPr>
                <w:b/>
                <w:bCs/>
                <w:w w:val="90"/>
                <w:sz w:val="20"/>
                <w:szCs w:val="20"/>
              </w:rPr>
            </w:pPr>
            <w:r w:rsidRPr="007E78FA">
              <w:rPr>
                <w:b/>
                <w:bCs/>
                <w:w w:val="90"/>
                <w:sz w:val="20"/>
                <w:szCs w:val="20"/>
              </w:rPr>
              <w:t xml:space="preserve">Building Height. </w:t>
            </w:r>
            <w:r w:rsidRPr="007E78FA">
              <w:rPr>
                <w:w w:val="90"/>
                <w:sz w:val="20"/>
                <w:szCs w:val="20"/>
              </w:rPr>
              <w:t xml:space="preserve">For projects in a zone that allows residential uses, a height of no more than one story above the maximum height otherwise applicable to the site is provided. [Govt. Code </w:t>
            </w:r>
            <w:r w:rsidRPr="007E78FA">
              <w:rPr>
                <w:rFonts w:ascii="Calibri" w:hAnsi="Calibri" w:cs="Calibri"/>
                <w:w w:val="90"/>
                <w:sz w:val="20"/>
                <w:szCs w:val="20"/>
              </w:rPr>
              <w:t>§</w:t>
            </w:r>
            <w:r w:rsidRPr="007E78FA">
              <w:rPr>
                <w:w w:val="90"/>
                <w:sz w:val="20"/>
                <w:szCs w:val="20"/>
              </w:rPr>
              <w:t>65913.16(j)(1)(A)].</w:t>
            </w:r>
          </w:p>
        </w:tc>
        <w:sdt>
          <w:sdtPr>
            <w:rPr>
              <w:w w:val="90"/>
            </w:rPr>
            <w:id w:val="1815374151"/>
            <w14:checkbox>
              <w14:checked w14:val="0"/>
              <w14:checkedState w14:val="2612" w14:font="MS Gothic"/>
              <w14:uncheckedState w14:val="2610" w14:font="MS Gothic"/>
            </w14:checkbox>
          </w:sdtPr>
          <w:sdtEndPr/>
          <w:sdtContent>
            <w:tc>
              <w:tcPr>
                <w:tcW w:w="683" w:type="dxa"/>
              </w:tcPr>
              <w:p w14:paraId="3253B8CD" w14:textId="6D1E48DE"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580510208"/>
            <w14:checkbox>
              <w14:checked w14:val="0"/>
              <w14:checkedState w14:val="2612" w14:font="MS Gothic"/>
              <w14:uncheckedState w14:val="2610" w14:font="MS Gothic"/>
            </w14:checkbox>
          </w:sdtPr>
          <w:sdtEndPr/>
          <w:sdtContent>
            <w:tc>
              <w:tcPr>
                <w:tcW w:w="604" w:type="dxa"/>
              </w:tcPr>
              <w:p w14:paraId="50E55615" w14:textId="49F08606"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2448C05B" w14:textId="77777777" w:rsidTr="001646A1">
        <w:trPr>
          <w:trHeight w:val="20"/>
          <w:jc w:val="center"/>
        </w:trPr>
        <w:tc>
          <w:tcPr>
            <w:tcW w:w="569" w:type="dxa"/>
          </w:tcPr>
          <w:p w14:paraId="4CDE6735" w14:textId="77777777" w:rsidR="001646A1" w:rsidRPr="007E78FA" w:rsidRDefault="001646A1" w:rsidP="001646A1">
            <w:pPr>
              <w:rPr>
                <w:w w:val="90"/>
                <w:sz w:val="20"/>
                <w:szCs w:val="20"/>
              </w:rPr>
            </w:pPr>
            <w:r w:rsidRPr="007E78FA">
              <w:rPr>
                <w:w w:val="90"/>
                <w:sz w:val="20"/>
                <w:szCs w:val="20"/>
              </w:rPr>
              <w:t>16.</w:t>
            </w:r>
          </w:p>
        </w:tc>
        <w:tc>
          <w:tcPr>
            <w:tcW w:w="8224" w:type="dxa"/>
            <w:gridSpan w:val="2"/>
          </w:tcPr>
          <w:p w14:paraId="0B2A386B" w14:textId="77777777" w:rsidR="001646A1" w:rsidRPr="007E78FA" w:rsidRDefault="001646A1" w:rsidP="001646A1">
            <w:pPr>
              <w:rPr>
                <w:b/>
                <w:bCs/>
                <w:w w:val="90"/>
                <w:sz w:val="20"/>
                <w:szCs w:val="20"/>
              </w:rPr>
            </w:pPr>
            <w:r w:rsidRPr="007E78FA">
              <w:rPr>
                <w:b/>
                <w:bCs/>
                <w:w w:val="90"/>
                <w:sz w:val="20"/>
                <w:szCs w:val="20"/>
              </w:rPr>
              <w:t xml:space="preserve">Parking. </w:t>
            </w:r>
            <w:r w:rsidRPr="007E78FA">
              <w:rPr>
                <w:w w:val="90"/>
                <w:sz w:val="20"/>
                <w:szCs w:val="20"/>
              </w:rPr>
              <w:t xml:space="preserve">No parking is required if the development parcel is located within ½-mile walking distance of public transit, either a high-quality transit corridor or a major transit stop, OR if there is a car share vehicle located within one block of the parcel. Otherwise, the development provides at least 1 parking space per unit. [Govt. Code </w:t>
            </w:r>
            <w:r w:rsidRPr="007E78FA">
              <w:rPr>
                <w:rFonts w:ascii="Calibri" w:hAnsi="Calibri" w:cs="Calibri"/>
                <w:w w:val="90"/>
                <w:sz w:val="20"/>
                <w:szCs w:val="20"/>
              </w:rPr>
              <w:t>§</w:t>
            </w:r>
            <w:r w:rsidRPr="007E78FA">
              <w:rPr>
                <w:w w:val="90"/>
                <w:sz w:val="20"/>
                <w:szCs w:val="20"/>
              </w:rPr>
              <w:t xml:space="preserve">65913.16(k)]. </w:t>
            </w:r>
            <w:r w:rsidRPr="007E78FA">
              <w:rPr>
                <w:w w:val="90"/>
                <w:sz w:val="20"/>
                <w:szCs w:val="20"/>
                <w:highlight w:val="yellow"/>
              </w:rPr>
              <w:t>[Note to cities: a city can adopt an ordinance to require less than 1 space – if your city does, adjust the text]</w:t>
            </w:r>
          </w:p>
        </w:tc>
        <w:sdt>
          <w:sdtPr>
            <w:rPr>
              <w:w w:val="90"/>
            </w:rPr>
            <w:id w:val="1618641464"/>
            <w14:checkbox>
              <w14:checked w14:val="0"/>
              <w14:checkedState w14:val="2612" w14:font="MS Gothic"/>
              <w14:uncheckedState w14:val="2610" w14:font="MS Gothic"/>
            </w14:checkbox>
          </w:sdtPr>
          <w:sdtEndPr/>
          <w:sdtContent>
            <w:tc>
              <w:tcPr>
                <w:tcW w:w="683" w:type="dxa"/>
              </w:tcPr>
              <w:p w14:paraId="6DC32461" w14:textId="3750FC01"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401984774"/>
            <w14:checkbox>
              <w14:checked w14:val="0"/>
              <w14:checkedState w14:val="2612" w14:font="MS Gothic"/>
              <w14:uncheckedState w14:val="2610" w14:font="MS Gothic"/>
            </w14:checkbox>
          </w:sdtPr>
          <w:sdtEndPr/>
          <w:sdtContent>
            <w:tc>
              <w:tcPr>
                <w:tcW w:w="604" w:type="dxa"/>
              </w:tcPr>
              <w:p w14:paraId="72579053" w14:textId="756A9220"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4173B49F" w14:textId="77777777" w:rsidTr="001646A1">
        <w:trPr>
          <w:trHeight w:val="20"/>
          <w:jc w:val="center"/>
        </w:trPr>
        <w:tc>
          <w:tcPr>
            <w:tcW w:w="569" w:type="dxa"/>
          </w:tcPr>
          <w:p w14:paraId="160834CF" w14:textId="77777777" w:rsidR="001646A1" w:rsidRPr="007E78FA" w:rsidRDefault="001646A1" w:rsidP="001646A1">
            <w:pPr>
              <w:rPr>
                <w:w w:val="90"/>
                <w:sz w:val="20"/>
                <w:szCs w:val="20"/>
              </w:rPr>
            </w:pPr>
            <w:r w:rsidRPr="007E78FA">
              <w:rPr>
                <w:w w:val="90"/>
                <w:sz w:val="20"/>
                <w:szCs w:val="20"/>
              </w:rPr>
              <w:t>17.</w:t>
            </w:r>
          </w:p>
        </w:tc>
        <w:tc>
          <w:tcPr>
            <w:tcW w:w="8224" w:type="dxa"/>
            <w:gridSpan w:val="2"/>
          </w:tcPr>
          <w:p w14:paraId="53DEA331" w14:textId="77777777" w:rsidR="001646A1" w:rsidRPr="007E78FA" w:rsidRDefault="001646A1" w:rsidP="001646A1">
            <w:pPr>
              <w:rPr>
                <w:w w:val="90"/>
                <w:sz w:val="20"/>
                <w:szCs w:val="20"/>
              </w:rPr>
            </w:pPr>
            <w:r w:rsidRPr="007E78FA">
              <w:rPr>
                <w:b/>
                <w:bCs/>
                <w:w w:val="90"/>
                <w:sz w:val="20"/>
                <w:szCs w:val="20"/>
              </w:rPr>
              <w:t>Public Work Project</w:t>
            </w:r>
            <w:r w:rsidRPr="007E78FA">
              <w:rPr>
                <w:w w:val="90"/>
                <w:sz w:val="20"/>
                <w:szCs w:val="20"/>
              </w:rPr>
              <w:t xml:space="preserve">. The housing development project is either entirely a public work project or the development contains more than 10 units and is not in its entirety a public work for the purposes of prevailing wage law. [Govt. Code </w:t>
            </w:r>
            <w:r w:rsidRPr="007E78FA">
              <w:rPr>
                <w:rFonts w:ascii="Calibri" w:hAnsi="Calibri" w:cs="Calibri"/>
                <w:w w:val="90"/>
                <w:sz w:val="20"/>
                <w:szCs w:val="20"/>
              </w:rPr>
              <w:t>§</w:t>
            </w:r>
            <w:r w:rsidRPr="007E78FA">
              <w:rPr>
                <w:w w:val="90"/>
                <w:sz w:val="20"/>
                <w:szCs w:val="20"/>
              </w:rPr>
              <w:t>65913.16(c)(12)].</w:t>
            </w:r>
          </w:p>
        </w:tc>
        <w:sdt>
          <w:sdtPr>
            <w:rPr>
              <w:w w:val="90"/>
            </w:rPr>
            <w:id w:val="-645817732"/>
            <w14:checkbox>
              <w14:checked w14:val="0"/>
              <w14:checkedState w14:val="2612" w14:font="MS Gothic"/>
              <w14:uncheckedState w14:val="2610" w14:font="MS Gothic"/>
            </w14:checkbox>
          </w:sdtPr>
          <w:sdtEndPr/>
          <w:sdtContent>
            <w:tc>
              <w:tcPr>
                <w:tcW w:w="683" w:type="dxa"/>
              </w:tcPr>
              <w:p w14:paraId="1F277F45" w14:textId="783FE519"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270408157"/>
            <w14:checkbox>
              <w14:checked w14:val="0"/>
              <w14:checkedState w14:val="2612" w14:font="MS Gothic"/>
              <w14:uncheckedState w14:val="2610" w14:font="MS Gothic"/>
            </w14:checkbox>
          </w:sdtPr>
          <w:sdtEndPr/>
          <w:sdtContent>
            <w:tc>
              <w:tcPr>
                <w:tcW w:w="604" w:type="dxa"/>
              </w:tcPr>
              <w:p w14:paraId="494A4631" w14:textId="1419F039"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33F474A4" w14:textId="77777777" w:rsidTr="001646A1">
        <w:trPr>
          <w:trHeight w:val="20"/>
          <w:jc w:val="center"/>
        </w:trPr>
        <w:tc>
          <w:tcPr>
            <w:tcW w:w="569" w:type="dxa"/>
          </w:tcPr>
          <w:p w14:paraId="0EE5040B" w14:textId="77777777" w:rsidR="001646A1" w:rsidRPr="007E78FA" w:rsidRDefault="001646A1" w:rsidP="001646A1">
            <w:pPr>
              <w:rPr>
                <w:w w:val="90"/>
                <w:sz w:val="20"/>
                <w:szCs w:val="20"/>
              </w:rPr>
            </w:pPr>
            <w:r w:rsidRPr="007E78FA">
              <w:rPr>
                <w:w w:val="90"/>
                <w:sz w:val="20"/>
                <w:szCs w:val="20"/>
              </w:rPr>
              <w:t>18.</w:t>
            </w:r>
          </w:p>
        </w:tc>
        <w:tc>
          <w:tcPr>
            <w:tcW w:w="8224" w:type="dxa"/>
            <w:gridSpan w:val="2"/>
          </w:tcPr>
          <w:p w14:paraId="02D8CA07" w14:textId="77777777" w:rsidR="001646A1" w:rsidRPr="007E78FA" w:rsidRDefault="001646A1" w:rsidP="001646A1">
            <w:pPr>
              <w:rPr>
                <w:w w:val="90"/>
                <w:sz w:val="20"/>
                <w:szCs w:val="20"/>
              </w:rPr>
            </w:pPr>
            <w:r w:rsidRPr="007E78FA">
              <w:rPr>
                <w:b/>
                <w:bCs/>
                <w:w w:val="90"/>
                <w:sz w:val="20"/>
                <w:szCs w:val="20"/>
              </w:rPr>
              <w:t>Environmental Site Assessment</w:t>
            </w:r>
            <w:r w:rsidRPr="007E78FA">
              <w:rPr>
                <w:w w:val="90"/>
                <w:sz w:val="20"/>
                <w:szCs w:val="20"/>
              </w:rPr>
              <w:t xml:space="preserve">. The development proponent completes a Phase I and 2 environmental assessment. If a recognized environmental condition is found, the proponent undertakes an endangerment </w:t>
            </w:r>
            <w:proofErr w:type="gramStart"/>
            <w:r w:rsidRPr="007E78FA">
              <w:rPr>
                <w:w w:val="90"/>
                <w:sz w:val="20"/>
                <w:szCs w:val="20"/>
              </w:rPr>
              <w:t>assessment</w:t>
            </w:r>
            <w:proofErr w:type="gramEnd"/>
            <w:r w:rsidRPr="007E78FA">
              <w:rPr>
                <w:w w:val="90"/>
                <w:sz w:val="20"/>
                <w:szCs w:val="20"/>
              </w:rPr>
              <w:t xml:space="preserve"> and any hazardous release or exposure is mitigated to a level of insignificance. [Govt. Code </w:t>
            </w:r>
            <w:r w:rsidRPr="007E78FA">
              <w:rPr>
                <w:rFonts w:ascii="Calibri" w:hAnsi="Calibri" w:cs="Calibri"/>
                <w:w w:val="90"/>
                <w:sz w:val="20"/>
                <w:szCs w:val="20"/>
              </w:rPr>
              <w:t>§</w:t>
            </w:r>
            <w:r w:rsidRPr="007E78FA">
              <w:rPr>
                <w:w w:val="90"/>
                <w:sz w:val="20"/>
                <w:szCs w:val="20"/>
              </w:rPr>
              <w:t>65913.16(c)(13)].</w:t>
            </w:r>
          </w:p>
        </w:tc>
        <w:sdt>
          <w:sdtPr>
            <w:rPr>
              <w:w w:val="90"/>
            </w:rPr>
            <w:id w:val="-802152191"/>
            <w14:checkbox>
              <w14:checked w14:val="0"/>
              <w14:checkedState w14:val="2612" w14:font="MS Gothic"/>
              <w14:uncheckedState w14:val="2610" w14:font="MS Gothic"/>
            </w14:checkbox>
          </w:sdtPr>
          <w:sdtEndPr/>
          <w:sdtContent>
            <w:tc>
              <w:tcPr>
                <w:tcW w:w="683" w:type="dxa"/>
              </w:tcPr>
              <w:p w14:paraId="51CB3294" w14:textId="2041CA6B"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951198924"/>
            <w14:checkbox>
              <w14:checked w14:val="0"/>
              <w14:checkedState w14:val="2612" w14:font="MS Gothic"/>
              <w14:uncheckedState w14:val="2610" w14:font="MS Gothic"/>
            </w14:checkbox>
          </w:sdtPr>
          <w:sdtEndPr/>
          <w:sdtContent>
            <w:tc>
              <w:tcPr>
                <w:tcW w:w="604" w:type="dxa"/>
              </w:tcPr>
              <w:p w14:paraId="7B602EE8" w14:textId="53FEF3AB"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3464DE78" w14:textId="77777777" w:rsidTr="001646A1">
        <w:trPr>
          <w:trHeight w:val="20"/>
          <w:jc w:val="center"/>
        </w:trPr>
        <w:tc>
          <w:tcPr>
            <w:tcW w:w="569" w:type="dxa"/>
          </w:tcPr>
          <w:p w14:paraId="442B82E2" w14:textId="77777777" w:rsidR="001646A1" w:rsidRPr="007E78FA" w:rsidRDefault="001646A1" w:rsidP="001646A1">
            <w:pPr>
              <w:rPr>
                <w:w w:val="90"/>
                <w:sz w:val="20"/>
                <w:szCs w:val="20"/>
              </w:rPr>
            </w:pPr>
            <w:r w:rsidRPr="007E78FA">
              <w:rPr>
                <w:w w:val="90"/>
                <w:sz w:val="20"/>
                <w:szCs w:val="20"/>
              </w:rPr>
              <w:t>19.</w:t>
            </w:r>
          </w:p>
        </w:tc>
        <w:tc>
          <w:tcPr>
            <w:tcW w:w="8224" w:type="dxa"/>
            <w:gridSpan w:val="2"/>
          </w:tcPr>
          <w:p w14:paraId="5448E0A2" w14:textId="77777777" w:rsidR="001646A1" w:rsidRPr="007E78FA" w:rsidRDefault="001646A1" w:rsidP="001646A1">
            <w:pPr>
              <w:rPr>
                <w:w w:val="90"/>
                <w:sz w:val="20"/>
                <w:szCs w:val="20"/>
              </w:rPr>
            </w:pPr>
            <w:r w:rsidRPr="007E78FA">
              <w:rPr>
                <w:b/>
                <w:bCs/>
                <w:w w:val="90"/>
                <w:sz w:val="20"/>
                <w:szCs w:val="20"/>
              </w:rPr>
              <w:t>Air Quality</w:t>
            </w:r>
            <w:r w:rsidRPr="007E78FA">
              <w:rPr>
                <w:w w:val="90"/>
                <w:sz w:val="20"/>
                <w:szCs w:val="20"/>
              </w:rPr>
              <w:t xml:space="preserve">. If the development is within 500 feet of a freeway, all regularly occupied areas of any buildings incorporate air filtration media for outside and return air that provides a minimum efficiency reporting value (MERV) of 13. [Govt. Code </w:t>
            </w:r>
            <w:r w:rsidRPr="007E78FA">
              <w:rPr>
                <w:rFonts w:ascii="Calibri" w:hAnsi="Calibri" w:cs="Calibri"/>
                <w:w w:val="90"/>
                <w:sz w:val="20"/>
                <w:szCs w:val="20"/>
              </w:rPr>
              <w:t>§</w:t>
            </w:r>
            <w:r w:rsidRPr="007E78FA">
              <w:rPr>
                <w:w w:val="90"/>
                <w:sz w:val="20"/>
                <w:szCs w:val="20"/>
              </w:rPr>
              <w:t>65913.16(c)(14)].</w:t>
            </w:r>
          </w:p>
        </w:tc>
        <w:sdt>
          <w:sdtPr>
            <w:rPr>
              <w:w w:val="90"/>
            </w:rPr>
            <w:id w:val="1135614493"/>
            <w14:checkbox>
              <w14:checked w14:val="0"/>
              <w14:checkedState w14:val="2612" w14:font="MS Gothic"/>
              <w14:uncheckedState w14:val="2610" w14:font="MS Gothic"/>
            </w14:checkbox>
          </w:sdtPr>
          <w:sdtEndPr/>
          <w:sdtContent>
            <w:tc>
              <w:tcPr>
                <w:tcW w:w="683" w:type="dxa"/>
              </w:tcPr>
              <w:p w14:paraId="0ADE7A1A" w14:textId="7B4A8D2D"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60077875"/>
            <w14:checkbox>
              <w14:checked w14:val="0"/>
              <w14:checkedState w14:val="2612" w14:font="MS Gothic"/>
              <w14:uncheckedState w14:val="2610" w14:font="MS Gothic"/>
            </w14:checkbox>
          </w:sdtPr>
          <w:sdtEndPr/>
          <w:sdtContent>
            <w:tc>
              <w:tcPr>
                <w:tcW w:w="604" w:type="dxa"/>
              </w:tcPr>
              <w:p w14:paraId="13FEE35B" w14:textId="3447CF17"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4C03E9B1" w14:textId="77777777" w:rsidTr="001646A1">
        <w:trPr>
          <w:trHeight w:val="20"/>
          <w:jc w:val="center"/>
        </w:trPr>
        <w:tc>
          <w:tcPr>
            <w:tcW w:w="569" w:type="dxa"/>
          </w:tcPr>
          <w:p w14:paraId="1CB77537" w14:textId="77777777" w:rsidR="001646A1" w:rsidRPr="007E78FA" w:rsidRDefault="001646A1" w:rsidP="001646A1">
            <w:pPr>
              <w:rPr>
                <w:w w:val="90"/>
                <w:sz w:val="20"/>
                <w:szCs w:val="20"/>
              </w:rPr>
            </w:pPr>
            <w:r w:rsidRPr="007E78FA">
              <w:rPr>
                <w:w w:val="90"/>
                <w:sz w:val="20"/>
                <w:szCs w:val="20"/>
              </w:rPr>
              <w:t>20.</w:t>
            </w:r>
          </w:p>
        </w:tc>
        <w:tc>
          <w:tcPr>
            <w:tcW w:w="8224" w:type="dxa"/>
            <w:gridSpan w:val="2"/>
          </w:tcPr>
          <w:p w14:paraId="45188DBB" w14:textId="77777777" w:rsidR="001646A1" w:rsidRPr="007E78FA" w:rsidRDefault="001646A1" w:rsidP="001646A1">
            <w:pPr>
              <w:rPr>
                <w:w w:val="90"/>
                <w:sz w:val="20"/>
                <w:szCs w:val="20"/>
              </w:rPr>
            </w:pPr>
            <w:r w:rsidRPr="007E78FA">
              <w:rPr>
                <w:b/>
                <w:bCs/>
                <w:w w:val="90"/>
                <w:sz w:val="20"/>
                <w:szCs w:val="20"/>
              </w:rPr>
              <w:t>Tribal Cultural Resources</w:t>
            </w:r>
            <w:r w:rsidRPr="007E78FA">
              <w:rPr>
                <w:w w:val="90"/>
                <w:sz w:val="20"/>
                <w:szCs w:val="20"/>
              </w:rPr>
              <w:t xml:space="preserve">. For a vacant site, the site does not contain tribal cultural resources that could be affected by the development project that were found pursuant to a consultation, and the effects of which cannot be mitigated. [Govt. Code </w:t>
            </w:r>
            <w:r w:rsidRPr="007E78FA">
              <w:rPr>
                <w:rFonts w:ascii="Calibri" w:hAnsi="Calibri" w:cs="Calibri"/>
                <w:w w:val="90"/>
                <w:sz w:val="20"/>
                <w:szCs w:val="20"/>
              </w:rPr>
              <w:t>§</w:t>
            </w:r>
            <w:r w:rsidRPr="007E78FA">
              <w:rPr>
                <w:w w:val="90"/>
                <w:sz w:val="20"/>
                <w:szCs w:val="20"/>
              </w:rPr>
              <w:t>65913.16(c)(15)].</w:t>
            </w:r>
          </w:p>
        </w:tc>
        <w:sdt>
          <w:sdtPr>
            <w:rPr>
              <w:w w:val="90"/>
            </w:rPr>
            <w:id w:val="-343012435"/>
            <w14:checkbox>
              <w14:checked w14:val="0"/>
              <w14:checkedState w14:val="2612" w14:font="MS Gothic"/>
              <w14:uncheckedState w14:val="2610" w14:font="MS Gothic"/>
            </w14:checkbox>
          </w:sdtPr>
          <w:sdtEndPr/>
          <w:sdtContent>
            <w:tc>
              <w:tcPr>
                <w:tcW w:w="683" w:type="dxa"/>
              </w:tcPr>
              <w:p w14:paraId="5A02151A" w14:textId="376CECCE"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1088270023"/>
            <w14:checkbox>
              <w14:checked w14:val="0"/>
              <w14:checkedState w14:val="2612" w14:font="MS Gothic"/>
              <w14:uncheckedState w14:val="2610" w14:font="MS Gothic"/>
            </w14:checkbox>
          </w:sdtPr>
          <w:sdtEndPr/>
          <w:sdtContent>
            <w:tc>
              <w:tcPr>
                <w:tcW w:w="604" w:type="dxa"/>
              </w:tcPr>
              <w:p w14:paraId="1CF05BF1" w14:textId="41B208FD"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1CC1366B" w14:textId="77777777" w:rsidTr="001646A1">
        <w:trPr>
          <w:trHeight w:val="20"/>
          <w:jc w:val="center"/>
        </w:trPr>
        <w:tc>
          <w:tcPr>
            <w:tcW w:w="569" w:type="dxa"/>
          </w:tcPr>
          <w:p w14:paraId="4D290D88" w14:textId="77777777" w:rsidR="001646A1" w:rsidRPr="007E78FA" w:rsidRDefault="001646A1" w:rsidP="001646A1">
            <w:pPr>
              <w:rPr>
                <w:w w:val="90"/>
                <w:sz w:val="20"/>
                <w:szCs w:val="20"/>
              </w:rPr>
            </w:pPr>
            <w:r w:rsidRPr="007E78FA">
              <w:rPr>
                <w:w w:val="90"/>
                <w:sz w:val="20"/>
                <w:szCs w:val="20"/>
              </w:rPr>
              <w:t>21.</w:t>
            </w:r>
          </w:p>
        </w:tc>
        <w:tc>
          <w:tcPr>
            <w:tcW w:w="8224" w:type="dxa"/>
            <w:gridSpan w:val="2"/>
          </w:tcPr>
          <w:p w14:paraId="3AF8F944" w14:textId="77777777" w:rsidR="001646A1" w:rsidRPr="007E78FA" w:rsidRDefault="001646A1" w:rsidP="001646A1">
            <w:pPr>
              <w:rPr>
                <w:w w:val="90"/>
                <w:sz w:val="20"/>
                <w:szCs w:val="20"/>
              </w:rPr>
            </w:pPr>
            <w:r w:rsidRPr="007E78FA">
              <w:rPr>
                <w:b/>
                <w:bCs/>
                <w:w w:val="90"/>
                <w:sz w:val="20"/>
                <w:szCs w:val="20"/>
              </w:rPr>
              <w:t>Ancillary Uses</w:t>
            </w:r>
            <w:r w:rsidRPr="007E78FA">
              <w:rPr>
                <w:w w:val="90"/>
                <w:sz w:val="20"/>
                <w:szCs w:val="20"/>
              </w:rPr>
              <w:t xml:space="preserve">. If the project is in a single-family residential zone, and if a childcare center and facility is provided, it is located on the ground floor of a residential building and is operated by a community-based organization for the recreational, </w:t>
            </w:r>
            <w:proofErr w:type="gramStart"/>
            <w:r w:rsidRPr="007E78FA">
              <w:rPr>
                <w:w w:val="90"/>
                <w:sz w:val="20"/>
                <w:szCs w:val="20"/>
              </w:rPr>
              <w:t>social</w:t>
            </w:r>
            <w:proofErr w:type="gramEnd"/>
            <w:r w:rsidRPr="007E78FA">
              <w:rPr>
                <w:w w:val="90"/>
                <w:sz w:val="20"/>
                <w:szCs w:val="20"/>
              </w:rPr>
              <w:t xml:space="preserve"> or educational services for use by the residents of the development and members of the local community. If the project is in a non-single-family residential zone, any commercial uses provided are located on the ground floor of a residential building. (Note: No other ancillary uses beyond those listed are permitted). [Govt. Code </w:t>
            </w:r>
            <w:r w:rsidRPr="007E78FA">
              <w:rPr>
                <w:rFonts w:ascii="Calibri" w:hAnsi="Calibri" w:cs="Calibri"/>
                <w:w w:val="90"/>
                <w:sz w:val="20"/>
                <w:szCs w:val="20"/>
              </w:rPr>
              <w:t>§</w:t>
            </w:r>
            <w:r w:rsidRPr="007E78FA">
              <w:rPr>
                <w:w w:val="90"/>
                <w:sz w:val="20"/>
                <w:szCs w:val="20"/>
              </w:rPr>
              <w:t>65913.16(h)].</w:t>
            </w:r>
          </w:p>
        </w:tc>
        <w:sdt>
          <w:sdtPr>
            <w:rPr>
              <w:w w:val="90"/>
            </w:rPr>
            <w:id w:val="-2045042756"/>
            <w14:checkbox>
              <w14:checked w14:val="0"/>
              <w14:checkedState w14:val="2612" w14:font="MS Gothic"/>
              <w14:uncheckedState w14:val="2610" w14:font="MS Gothic"/>
            </w14:checkbox>
          </w:sdtPr>
          <w:sdtEndPr/>
          <w:sdtContent>
            <w:tc>
              <w:tcPr>
                <w:tcW w:w="683" w:type="dxa"/>
              </w:tcPr>
              <w:p w14:paraId="7C7F7DE4" w14:textId="21BED230"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850710846"/>
            <w14:checkbox>
              <w14:checked w14:val="0"/>
              <w14:checkedState w14:val="2612" w14:font="MS Gothic"/>
              <w14:uncheckedState w14:val="2610" w14:font="MS Gothic"/>
            </w14:checkbox>
          </w:sdtPr>
          <w:sdtEndPr/>
          <w:sdtContent>
            <w:tc>
              <w:tcPr>
                <w:tcW w:w="604" w:type="dxa"/>
              </w:tcPr>
              <w:p w14:paraId="420D8C03" w14:textId="69ECFB6D" w:rsidR="001646A1" w:rsidRPr="007E78FA" w:rsidRDefault="00735DEB" w:rsidP="00735DEB">
                <w:pPr>
                  <w:jc w:val="center"/>
                  <w:rPr>
                    <w:w w:val="90"/>
                  </w:rPr>
                </w:pPr>
                <w:r w:rsidRPr="007E78FA">
                  <w:rPr>
                    <w:rFonts w:ascii="MS Gothic" w:eastAsia="MS Gothic" w:hAnsi="MS Gothic"/>
                    <w:w w:val="90"/>
                  </w:rPr>
                  <w:t>☐</w:t>
                </w:r>
              </w:p>
            </w:tc>
          </w:sdtContent>
        </w:sdt>
      </w:tr>
      <w:tr w:rsidR="001646A1" w:rsidRPr="007E78FA" w14:paraId="7DE8AC7F" w14:textId="77777777" w:rsidTr="001646A1">
        <w:trPr>
          <w:trHeight w:val="20"/>
          <w:jc w:val="center"/>
        </w:trPr>
        <w:tc>
          <w:tcPr>
            <w:tcW w:w="569" w:type="dxa"/>
          </w:tcPr>
          <w:p w14:paraId="3B516CDB" w14:textId="77777777" w:rsidR="001646A1" w:rsidRPr="007E78FA" w:rsidRDefault="001646A1" w:rsidP="001646A1">
            <w:pPr>
              <w:rPr>
                <w:w w:val="90"/>
                <w:sz w:val="20"/>
                <w:szCs w:val="20"/>
              </w:rPr>
            </w:pPr>
            <w:r w:rsidRPr="007E78FA">
              <w:rPr>
                <w:w w:val="90"/>
                <w:sz w:val="20"/>
                <w:szCs w:val="20"/>
              </w:rPr>
              <w:lastRenderedPageBreak/>
              <w:t>22.</w:t>
            </w:r>
          </w:p>
        </w:tc>
        <w:tc>
          <w:tcPr>
            <w:tcW w:w="8224" w:type="dxa"/>
            <w:gridSpan w:val="2"/>
          </w:tcPr>
          <w:p w14:paraId="3DC9DA10" w14:textId="3F552F05" w:rsidR="001646A1" w:rsidRPr="007E78FA" w:rsidRDefault="001646A1" w:rsidP="001646A1">
            <w:pPr>
              <w:rPr>
                <w:w w:val="90"/>
                <w:sz w:val="20"/>
                <w:szCs w:val="20"/>
              </w:rPr>
            </w:pPr>
            <w:r w:rsidRPr="007E78FA">
              <w:rPr>
                <w:b/>
                <w:bCs/>
                <w:w w:val="90"/>
                <w:sz w:val="20"/>
                <w:szCs w:val="20"/>
              </w:rPr>
              <w:t xml:space="preserve">Density. </w:t>
            </w:r>
            <w:r w:rsidRPr="007E78FA">
              <w:rPr>
                <w:w w:val="90"/>
                <w:sz w:val="20"/>
                <w:szCs w:val="20"/>
              </w:rPr>
              <w:t xml:space="preserve">The project density is no more than 40 units/acre if the site is located in a zone that does not allow residential uses, and no more than the density the city has deemed appropriate to accommodate housing for lower income households in the adopted Housing Element </w:t>
            </w:r>
            <w:r w:rsidRPr="007E78FA">
              <w:rPr>
                <w:w w:val="90"/>
                <w:sz w:val="20"/>
                <w:szCs w:val="20"/>
                <w:highlight w:val="yellow"/>
              </w:rPr>
              <w:t>[Note to cities: best to identify that specific density here – e.g., 20 du/acre, etc.]</w:t>
            </w:r>
            <w:r w:rsidRPr="007E78FA">
              <w:rPr>
                <w:w w:val="90"/>
                <w:sz w:val="20"/>
                <w:szCs w:val="20"/>
              </w:rPr>
              <w:t xml:space="preserve"> if the site is located in a zone that allows residential uses, including single-family residential zones. (Note:</w:t>
            </w:r>
            <w:r w:rsidRPr="007E78FA">
              <w:rPr>
                <w:b/>
                <w:bCs/>
                <w:w w:val="90"/>
                <w:sz w:val="20"/>
                <w:szCs w:val="20"/>
              </w:rPr>
              <w:t xml:space="preserve"> </w:t>
            </w:r>
            <w:r w:rsidRPr="007E78FA">
              <w:rPr>
                <w:w w:val="90"/>
                <w:sz w:val="20"/>
                <w:szCs w:val="20"/>
              </w:rPr>
              <w:t xml:space="preserve">a housing development project located in a zone that allows residential uses, including in a single-family residential zone, shall be eligible for a density bonus, incentives, concessions, and/or waivers of development standards and parking ratios pursuant to State Density Bonus Law). [Govt. Code </w:t>
            </w:r>
            <w:r w:rsidRPr="007E78FA">
              <w:rPr>
                <w:rFonts w:ascii="Calibri" w:hAnsi="Calibri" w:cs="Calibri"/>
                <w:w w:val="90"/>
                <w:sz w:val="20"/>
                <w:szCs w:val="20"/>
              </w:rPr>
              <w:t>§</w:t>
            </w:r>
            <w:r w:rsidRPr="007E78FA">
              <w:rPr>
                <w:w w:val="90"/>
                <w:sz w:val="20"/>
                <w:szCs w:val="20"/>
              </w:rPr>
              <w:t>65913.16(j)].</w:t>
            </w:r>
            <w:r w:rsidRPr="007E78FA">
              <w:rPr>
                <w:w w:val="90"/>
                <w:sz w:val="20"/>
                <w:szCs w:val="20"/>
                <w:highlight w:val="yellow"/>
              </w:rPr>
              <w:t xml:space="preserve"> [Note to cities: a city can adopt higher density allowances</w:t>
            </w:r>
            <w:r w:rsidR="007E78FA">
              <w:rPr>
                <w:w w:val="90"/>
                <w:sz w:val="20"/>
                <w:szCs w:val="20"/>
                <w:highlight w:val="yellow"/>
              </w:rPr>
              <w:t xml:space="preserve"> </w:t>
            </w:r>
            <w:r w:rsidRPr="007E78FA">
              <w:rPr>
                <w:w w:val="90"/>
                <w:sz w:val="20"/>
                <w:szCs w:val="20"/>
                <w:highlight w:val="yellow"/>
              </w:rPr>
              <w:t>and more stories for these projects, and, if a city allows greater residential density or building heights on that parcel or an adjoining parcel than the defaults noted above, the greater density or building height shall apply – therefore, this provision may need adjusting.]</w:t>
            </w:r>
          </w:p>
        </w:tc>
        <w:sdt>
          <w:sdtPr>
            <w:rPr>
              <w:w w:val="90"/>
            </w:rPr>
            <w:id w:val="-600340683"/>
            <w14:checkbox>
              <w14:checked w14:val="0"/>
              <w14:checkedState w14:val="2612" w14:font="MS Gothic"/>
              <w14:uncheckedState w14:val="2610" w14:font="MS Gothic"/>
            </w14:checkbox>
          </w:sdtPr>
          <w:sdtEndPr/>
          <w:sdtContent>
            <w:tc>
              <w:tcPr>
                <w:tcW w:w="683" w:type="dxa"/>
              </w:tcPr>
              <w:p w14:paraId="03BF5CC0" w14:textId="40D840F5" w:rsidR="001646A1" w:rsidRPr="007E78FA" w:rsidRDefault="00735DEB" w:rsidP="00735DEB">
                <w:pPr>
                  <w:jc w:val="center"/>
                  <w:rPr>
                    <w:w w:val="90"/>
                  </w:rPr>
                </w:pPr>
                <w:r w:rsidRPr="007E78FA">
                  <w:rPr>
                    <w:rFonts w:ascii="MS Gothic" w:eastAsia="MS Gothic" w:hAnsi="MS Gothic"/>
                    <w:w w:val="90"/>
                  </w:rPr>
                  <w:t>☐</w:t>
                </w:r>
              </w:p>
            </w:tc>
          </w:sdtContent>
        </w:sdt>
        <w:sdt>
          <w:sdtPr>
            <w:rPr>
              <w:w w:val="90"/>
            </w:rPr>
            <w:id w:val="484361275"/>
            <w14:checkbox>
              <w14:checked w14:val="0"/>
              <w14:checkedState w14:val="2612" w14:font="MS Gothic"/>
              <w14:uncheckedState w14:val="2610" w14:font="MS Gothic"/>
            </w14:checkbox>
          </w:sdtPr>
          <w:sdtEndPr/>
          <w:sdtContent>
            <w:tc>
              <w:tcPr>
                <w:tcW w:w="604" w:type="dxa"/>
              </w:tcPr>
              <w:p w14:paraId="5F55E96C" w14:textId="258F9233" w:rsidR="001646A1" w:rsidRPr="007E78FA" w:rsidRDefault="00735DEB" w:rsidP="00735DEB">
                <w:pPr>
                  <w:jc w:val="center"/>
                  <w:rPr>
                    <w:w w:val="90"/>
                  </w:rPr>
                </w:pPr>
                <w:r w:rsidRPr="007E78FA">
                  <w:rPr>
                    <w:rFonts w:ascii="MS Gothic" w:eastAsia="MS Gothic" w:hAnsi="MS Gothic"/>
                    <w:w w:val="90"/>
                  </w:rPr>
                  <w:t>☐</w:t>
                </w:r>
              </w:p>
            </w:tc>
          </w:sdtContent>
        </w:sdt>
      </w:tr>
    </w:tbl>
    <w:p w14:paraId="2D6F912A" w14:textId="77777777" w:rsidR="00C63284" w:rsidRPr="007E78FA" w:rsidRDefault="00C63284" w:rsidP="0071738F">
      <w:pPr>
        <w:pStyle w:val="Heading1"/>
      </w:pPr>
      <w:r w:rsidRPr="007E78FA">
        <w:t>REQUIRED APPLICATION ITEMS:</w:t>
      </w:r>
    </w:p>
    <w:p w14:paraId="0048D05B" w14:textId="77777777" w:rsidR="00C63284" w:rsidRPr="007E78FA" w:rsidRDefault="00C63284" w:rsidP="0071738F">
      <w:pPr>
        <w:rPr>
          <w:highlight w:val="yellow"/>
        </w:rPr>
      </w:pPr>
      <w:r w:rsidRPr="007E78FA">
        <w:rPr>
          <w:highlight w:val="yellow"/>
        </w:rPr>
        <w:t>[Note to cities: list here the application form(s) needing to be completed, and the application submittal requirements (plans, reports, other materials), and reference any application fees</w:t>
      </w:r>
      <w:r w:rsidRPr="007E78FA">
        <w:t xml:space="preserve">. </w:t>
      </w:r>
      <w:r w:rsidRPr="007E78FA">
        <w:rPr>
          <w:highlight w:val="yellow"/>
        </w:rPr>
        <w:t>Also, consider requiring applicants to submit an affidavit declaring the owner or authorized agent signature, information is true and accurate, etc.]</w:t>
      </w:r>
    </w:p>
    <w:p w14:paraId="06C78C3B" w14:textId="77777777" w:rsidR="00C63284" w:rsidRPr="007E78FA" w:rsidRDefault="00C63284" w:rsidP="0071738F">
      <w:pPr>
        <w:pStyle w:val="Heading1"/>
      </w:pPr>
      <w:r w:rsidRPr="007E78FA">
        <w:t>APPLICATION REVIEW PROCESS:</w:t>
      </w:r>
    </w:p>
    <w:p w14:paraId="3F7889F7" w14:textId="77777777" w:rsidR="00C63284" w:rsidRPr="007E78FA" w:rsidRDefault="00C63284" w:rsidP="0071738F">
      <w:pPr>
        <w:pStyle w:val="ListParagraph"/>
        <w:numPr>
          <w:ilvl w:val="0"/>
          <w:numId w:val="16"/>
        </w:numPr>
        <w:ind w:left="360"/>
      </w:pPr>
      <w:r w:rsidRPr="007E78FA">
        <w:rPr>
          <w:u w:val="single"/>
        </w:rPr>
        <w:t>Ministerial Review</w:t>
      </w:r>
      <w:r w:rsidRPr="007E78FA">
        <w:t xml:space="preserve">. Projects complying with SB4 are reviewed on a ministerial basis. </w:t>
      </w:r>
    </w:p>
    <w:p w14:paraId="6976C39C" w14:textId="77777777" w:rsidR="00C63284" w:rsidRPr="007E78FA" w:rsidRDefault="00C63284" w:rsidP="0071738F">
      <w:pPr>
        <w:pStyle w:val="ListParagraph"/>
        <w:numPr>
          <w:ilvl w:val="0"/>
          <w:numId w:val="16"/>
        </w:numPr>
        <w:ind w:left="360"/>
      </w:pPr>
      <w:r w:rsidRPr="007E78FA">
        <w:rPr>
          <w:u w:val="single"/>
        </w:rPr>
        <w:t>CEQA Exemption</w:t>
      </w:r>
      <w:r w:rsidRPr="007E78FA">
        <w:t xml:space="preserve">. Development projects complying with SB4 are exempt from the California Environmental Quality Act (CEQA). If the project is consistent with all objective standards in the Subdivision Ordinance, an application for a subdivision pursuant to the Subdivision Map Act is also exempt from CEQA. </w:t>
      </w:r>
    </w:p>
    <w:p w14:paraId="6E7C1F9C" w14:textId="255101D4" w:rsidR="00C63284" w:rsidRPr="007E78FA" w:rsidRDefault="00C63284" w:rsidP="0071738F">
      <w:pPr>
        <w:pStyle w:val="ListParagraph"/>
        <w:numPr>
          <w:ilvl w:val="0"/>
          <w:numId w:val="16"/>
        </w:numPr>
        <w:ind w:left="360"/>
      </w:pPr>
      <w:r w:rsidRPr="007E78FA">
        <w:rPr>
          <w:u w:val="single"/>
        </w:rPr>
        <w:t>Application Review Timing</w:t>
      </w:r>
      <w:r w:rsidRPr="007E78FA">
        <w:t>: Depending on the project size, the following deadlines shall be observed:</w:t>
      </w:r>
    </w:p>
    <w:p w14:paraId="5E141B8A" w14:textId="4BCCC7A2" w:rsidR="00C63284" w:rsidRPr="007E78FA" w:rsidRDefault="00C63284" w:rsidP="0071738F">
      <w:pPr>
        <w:pStyle w:val="ListParagraph"/>
      </w:pPr>
      <w:r w:rsidRPr="007E78FA">
        <w:rPr>
          <w:b/>
          <w:bCs/>
        </w:rPr>
        <w:t>Small projects</w:t>
      </w:r>
      <w:r w:rsidRPr="007E78FA">
        <w:t xml:space="preserve"> (150 units or less) – the City shall provide the applicant with a list of all inconsistencies with objective planning standards and an explanation for the reason(s) the project conflicts with the standard(s) within 60 days of the application submittal to the City.</w:t>
      </w:r>
    </w:p>
    <w:p w14:paraId="4FCB4A75" w14:textId="5599DCC2" w:rsidR="00C63284" w:rsidRPr="007E78FA" w:rsidRDefault="00C63284" w:rsidP="0071738F">
      <w:pPr>
        <w:pStyle w:val="ListParagraph"/>
      </w:pPr>
      <w:r w:rsidRPr="007E78FA">
        <w:rPr>
          <w:b/>
          <w:bCs/>
        </w:rPr>
        <w:t>Large projects</w:t>
      </w:r>
      <w:r w:rsidRPr="007E78FA">
        <w:t xml:space="preserve"> (over 150 units) – the City shall provide the applicant with a list of all inconsistencies with objective planning standards and an explanation for the reason(s) the project conflicts with the standard(s) within 90 days of the application submittal to the City.</w:t>
      </w:r>
    </w:p>
    <w:p w14:paraId="6C477A9C" w14:textId="1EDAB4F6" w:rsidR="00C63284" w:rsidRPr="007E78FA" w:rsidRDefault="00C63284" w:rsidP="0071738F">
      <w:pPr>
        <w:pStyle w:val="ListParagraph"/>
        <w:numPr>
          <w:ilvl w:val="0"/>
          <w:numId w:val="16"/>
        </w:numPr>
        <w:ind w:left="360"/>
      </w:pPr>
      <w:r w:rsidRPr="007E78FA">
        <w:rPr>
          <w:u w:val="single"/>
        </w:rPr>
        <w:t>Design Review Timing</w:t>
      </w:r>
      <w:r w:rsidRPr="007E78FA">
        <w:t>: The City may conduct design review of the proposed project. The design review shall be objective and focused on assessing compliance with criteria required for streamlined, ministerial review of projects, and adopted objective design standards. The following deadlines shall be observed:</w:t>
      </w:r>
    </w:p>
    <w:p w14:paraId="2A2CCBD9" w14:textId="28BBB6D8" w:rsidR="00C63284" w:rsidRPr="007E78FA" w:rsidRDefault="00C63284" w:rsidP="0071738F">
      <w:pPr>
        <w:pStyle w:val="ListParagraph"/>
      </w:pPr>
      <w:r w:rsidRPr="007E78FA">
        <w:rPr>
          <w:b/>
          <w:bCs/>
        </w:rPr>
        <w:lastRenderedPageBreak/>
        <w:t>Small projects</w:t>
      </w:r>
      <w:r w:rsidRPr="007E78FA">
        <w:t xml:space="preserve"> (150 or less units) – the City shall complete design review within 90 days of the application submittal to the City.</w:t>
      </w:r>
    </w:p>
    <w:p w14:paraId="13951668" w14:textId="77777777" w:rsidR="00C63284" w:rsidRPr="007E78FA" w:rsidRDefault="00C63284" w:rsidP="0071738F">
      <w:pPr>
        <w:pStyle w:val="ListParagraph"/>
      </w:pPr>
      <w:r w:rsidRPr="007E78FA">
        <w:rPr>
          <w:b/>
          <w:bCs/>
        </w:rPr>
        <w:t>Large projects</w:t>
      </w:r>
      <w:r w:rsidRPr="007E78FA">
        <w:t xml:space="preserve"> (over 150 units) – the City shall complete design review within 180 days of the application submittal to the City</w:t>
      </w:r>
    </w:p>
    <w:p w14:paraId="7C1ECC4A" w14:textId="77777777" w:rsidR="00C63284" w:rsidRPr="007E78FA" w:rsidRDefault="00C63284" w:rsidP="00C63284">
      <w:pPr>
        <w:rPr>
          <w:i/>
          <w:iCs/>
        </w:rPr>
      </w:pPr>
      <w:r w:rsidRPr="007E78FA">
        <w:rPr>
          <w:i/>
          <w:iCs/>
        </w:rPr>
        <w:t>[A. Cook, 11-14-23]</w:t>
      </w:r>
    </w:p>
    <w:p w14:paraId="07C39498" w14:textId="77777777" w:rsidR="00C63284" w:rsidRPr="007E78FA" w:rsidRDefault="00C63284" w:rsidP="00E46EA4">
      <w:pPr>
        <w:pStyle w:val="BodyText"/>
      </w:pPr>
    </w:p>
    <w:sectPr w:rsidR="00C63284" w:rsidRPr="007E78FA" w:rsidSect="008E3D83">
      <w:headerReference w:type="default" r:id="rId11"/>
      <w:footerReference w:type="default" r:id="rId12"/>
      <w:headerReference w:type="first" r:id="rId13"/>
      <w:footerReference w:type="first" r:id="rId14"/>
      <w:pgSz w:w="12240" w:h="15840" w:code="1"/>
      <w:pgMar w:top="1296" w:right="1080" w:bottom="1080" w:left="108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7FAD" w14:textId="77777777" w:rsidR="008E3D83" w:rsidRDefault="008E3D83">
      <w:pPr>
        <w:spacing w:after="0" w:line="240" w:lineRule="auto"/>
      </w:pPr>
      <w:r>
        <w:separator/>
      </w:r>
    </w:p>
  </w:endnote>
  <w:endnote w:type="continuationSeparator" w:id="0">
    <w:p w14:paraId="4810A2B6" w14:textId="77777777" w:rsidR="008E3D83" w:rsidRDefault="008E3D83">
      <w:pPr>
        <w:spacing w:after="0" w:line="240" w:lineRule="auto"/>
      </w:pPr>
      <w:r>
        <w:continuationSeparator/>
      </w:r>
    </w:p>
  </w:endnote>
  <w:endnote w:type="continuationNotice" w:id="1">
    <w:p w14:paraId="25D776E5" w14:textId="77777777" w:rsidR="008E3D83" w:rsidRDefault="008E3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35588"/>
      <w:docPartObj>
        <w:docPartGallery w:val="Page Numbers (Bottom of Page)"/>
        <w:docPartUnique/>
      </w:docPartObj>
    </w:sdtPr>
    <w:sdtEndPr>
      <w:rPr>
        <w:noProof/>
      </w:rPr>
    </w:sdtEndPr>
    <w:sdtContent>
      <w:p w14:paraId="13E03E10" w14:textId="77777777" w:rsidR="00F11F2E" w:rsidRDefault="00F11F2E" w:rsidP="00F11F2E">
        <w:pPr>
          <w:pStyle w:val="Footer"/>
          <w:spacing w:before="120"/>
          <w:jc w:val="center"/>
        </w:pPr>
        <w:r>
          <w:fldChar w:fldCharType="begin"/>
        </w:r>
        <w:r>
          <w:instrText xml:space="preserve"> PAGE   \* MERGEFORMAT </w:instrText>
        </w:r>
        <w:r>
          <w:fldChar w:fldCharType="separate"/>
        </w:r>
        <w: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916595"/>
      <w:docPartObj>
        <w:docPartGallery w:val="Page Numbers (Bottom of Page)"/>
        <w:docPartUnique/>
      </w:docPartObj>
    </w:sdtPr>
    <w:sdtEndPr>
      <w:rPr>
        <w:noProof/>
      </w:rPr>
    </w:sdtEndPr>
    <w:sdtContent>
      <w:p w14:paraId="37BE579F" w14:textId="77777777" w:rsidR="00F11F2E" w:rsidRDefault="00F11F2E" w:rsidP="00F11F2E">
        <w:pPr>
          <w:pStyle w:val="Footer"/>
          <w:spacing w:before="120"/>
          <w:jc w:val="center"/>
        </w:pPr>
        <w:r>
          <w:fldChar w:fldCharType="begin"/>
        </w:r>
        <w:r>
          <w:instrText xml:space="preserve"> PAGE   \* MERGEFORMAT </w:instrText>
        </w:r>
        <w:r>
          <w:fldChar w:fldCharType="separate"/>
        </w:r>
        <w: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B60D5" w14:textId="77777777" w:rsidR="008E3D83" w:rsidRDefault="008E3D83">
      <w:pPr>
        <w:spacing w:after="0" w:line="240" w:lineRule="auto"/>
      </w:pPr>
      <w:r>
        <w:separator/>
      </w:r>
    </w:p>
  </w:footnote>
  <w:footnote w:type="continuationSeparator" w:id="0">
    <w:p w14:paraId="05B8771E" w14:textId="77777777" w:rsidR="008E3D83" w:rsidRDefault="008E3D83">
      <w:pPr>
        <w:spacing w:after="0" w:line="240" w:lineRule="auto"/>
      </w:pPr>
      <w:r>
        <w:continuationSeparator/>
      </w:r>
    </w:p>
  </w:footnote>
  <w:footnote w:type="continuationNotice" w:id="1">
    <w:p w14:paraId="73A4F6FC" w14:textId="77777777" w:rsidR="008E3D83" w:rsidRDefault="008E3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7086" w14:textId="5CD22F20" w:rsidR="009249EB" w:rsidRPr="005F3874" w:rsidRDefault="00FC4C5C" w:rsidP="005F3874">
    <w:pPr>
      <w:pStyle w:val="Header"/>
      <w:pBdr>
        <w:bottom w:val="single" w:sz="4" w:space="1" w:color="BAABCE"/>
      </w:pBdr>
      <w:jc w:val="right"/>
      <w:rPr>
        <w:color w:val="754F97"/>
        <w:sz w:val="16"/>
        <w:szCs w:val="16"/>
      </w:rPr>
    </w:pPr>
    <w:r>
      <w:rPr>
        <w:color w:val="754F97"/>
        <w:sz w:val="16"/>
        <w:szCs w:val="16"/>
      </w:rPr>
      <w:t>SB 4 Project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8F3" w14:textId="77777777" w:rsidR="000421AC" w:rsidRDefault="000421AC" w:rsidP="000421AC">
    <w:pPr>
      <w:pStyle w:val="TitlePageReportType"/>
      <w:spacing w:before="0" w:line="216" w:lineRule="auto"/>
      <w:jc w:val="right"/>
      <w:rPr>
        <w:rFonts w:ascii="Montserrat" w:hAnsi="Montserrat"/>
        <w:smallCaps w:val="0"/>
        <w:color w:val="283C75"/>
        <w:sz w:val="22"/>
        <w:szCs w:val="20"/>
      </w:rPr>
    </w:pPr>
    <w:r w:rsidRPr="00377FBD">
      <w:rPr>
        <w:rFonts w:ascii="Montserrat" w:hAnsi="Montserrat"/>
        <w:noProof/>
        <w:sz w:val="18"/>
        <w:szCs w:val="20"/>
      </w:rPr>
      <w:drawing>
        <wp:inline distT="0" distB="0" distL="0" distR="0" wp14:anchorId="1ED2D718" wp14:editId="11A69ECA">
          <wp:extent cx="1828800" cy="297179"/>
          <wp:effectExtent l="0" t="0" r="0" b="8255"/>
          <wp:docPr id="1753042499" name="Graphic 175304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42499" name="Graphic 1753042499"/>
                  <pic:cNvPicPr/>
                </pic:nvPicPr>
                <pic:blipFill>
                  <a:blip r:embed="rId1">
                    <a:extLst>
                      <a:ext uri="{28A0092B-C50C-407E-A947-70E740481C1C}">
                        <a14:useLocalDpi xmlns:a14="http://schemas.microsoft.com/office/drawing/2010/main" val="0"/>
                      </a:ext>
                    </a:extLst>
                  </a:blip>
                  <a:stretch>
                    <a:fillRect/>
                  </a:stretch>
                </pic:blipFill>
                <pic:spPr>
                  <a:xfrm>
                    <a:off x="0" y="0"/>
                    <a:ext cx="1828800" cy="297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24C2"/>
    <w:multiLevelType w:val="hybridMultilevel"/>
    <w:tmpl w:val="B818E3B0"/>
    <w:lvl w:ilvl="0" w:tplc="33103E22">
      <w:start w:val="1"/>
      <w:numFmt w:val="lowerLetter"/>
      <w:lvlText w:val="%1)"/>
      <w:lvlJc w:val="left"/>
      <w:pPr>
        <w:ind w:left="720" w:hanging="360"/>
      </w:pPr>
    </w:lvl>
    <w:lvl w:ilvl="1" w:tplc="FC887E4A" w:tentative="1">
      <w:start w:val="1"/>
      <w:numFmt w:val="lowerLetter"/>
      <w:lvlText w:val="%2."/>
      <w:lvlJc w:val="left"/>
      <w:pPr>
        <w:ind w:left="1440" w:hanging="360"/>
      </w:pPr>
    </w:lvl>
    <w:lvl w:ilvl="2" w:tplc="702A83F4" w:tentative="1">
      <w:start w:val="1"/>
      <w:numFmt w:val="lowerRoman"/>
      <w:lvlText w:val="%3."/>
      <w:lvlJc w:val="right"/>
      <w:pPr>
        <w:ind w:left="2160" w:hanging="180"/>
      </w:pPr>
    </w:lvl>
    <w:lvl w:ilvl="3" w:tplc="C22228E2" w:tentative="1">
      <w:start w:val="1"/>
      <w:numFmt w:val="decimal"/>
      <w:lvlText w:val="%4."/>
      <w:lvlJc w:val="left"/>
      <w:pPr>
        <w:ind w:left="2880" w:hanging="360"/>
      </w:pPr>
    </w:lvl>
    <w:lvl w:ilvl="4" w:tplc="CE5AF428" w:tentative="1">
      <w:start w:val="1"/>
      <w:numFmt w:val="lowerLetter"/>
      <w:lvlText w:val="%5."/>
      <w:lvlJc w:val="left"/>
      <w:pPr>
        <w:ind w:left="3600" w:hanging="360"/>
      </w:pPr>
    </w:lvl>
    <w:lvl w:ilvl="5" w:tplc="27F097AA" w:tentative="1">
      <w:start w:val="1"/>
      <w:numFmt w:val="lowerRoman"/>
      <w:lvlText w:val="%6."/>
      <w:lvlJc w:val="right"/>
      <w:pPr>
        <w:ind w:left="4320" w:hanging="180"/>
      </w:pPr>
    </w:lvl>
    <w:lvl w:ilvl="6" w:tplc="F31C0EAE" w:tentative="1">
      <w:start w:val="1"/>
      <w:numFmt w:val="decimal"/>
      <w:lvlText w:val="%7."/>
      <w:lvlJc w:val="left"/>
      <w:pPr>
        <w:ind w:left="5040" w:hanging="360"/>
      </w:pPr>
    </w:lvl>
    <w:lvl w:ilvl="7" w:tplc="91F4A33C" w:tentative="1">
      <w:start w:val="1"/>
      <w:numFmt w:val="lowerLetter"/>
      <w:lvlText w:val="%8."/>
      <w:lvlJc w:val="left"/>
      <w:pPr>
        <w:ind w:left="5760" w:hanging="360"/>
      </w:pPr>
    </w:lvl>
    <w:lvl w:ilvl="8" w:tplc="C290B2E6" w:tentative="1">
      <w:start w:val="1"/>
      <w:numFmt w:val="lowerRoman"/>
      <w:lvlText w:val="%9."/>
      <w:lvlJc w:val="right"/>
      <w:pPr>
        <w:ind w:left="6480" w:hanging="180"/>
      </w:pPr>
    </w:lvl>
  </w:abstractNum>
  <w:abstractNum w:abstractNumId="1" w15:restartNumberingAfterBreak="0">
    <w:nsid w:val="0DD96D7D"/>
    <w:multiLevelType w:val="hybridMultilevel"/>
    <w:tmpl w:val="5560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81736"/>
    <w:multiLevelType w:val="hybridMultilevel"/>
    <w:tmpl w:val="41C6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A3C06"/>
    <w:multiLevelType w:val="multilevel"/>
    <w:tmpl w:val="94483640"/>
    <w:styleLink w:val="Norm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2010C2"/>
    <w:multiLevelType w:val="hybridMultilevel"/>
    <w:tmpl w:val="7BD8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12FA7"/>
    <w:multiLevelType w:val="hybridMultilevel"/>
    <w:tmpl w:val="CE845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139E2"/>
    <w:multiLevelType w:val="hybridMultilevel"/>
    <w:tmpl w:val="F31A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428E5"/>
    <w:multiLevelType w:val="hybridMultilevel"/>
    <w:tmpl w:val="4F04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D335A"/>
    <w:multiLevelType w:val="hybridMultilevel"/>
    <w:tmpl w:val="7E92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81568"/>
    <w:multiLevelType w:val="hybridMultilevel"/>
    <w:tmpl w:val="AD0C3604"/>
    <w:lvl w:ilvl="0" w:tplc="645E031C">
      <w:start w:val="1"/>
      <w:numFmt w:val="bullet"/>
      <w:pStyle w:val="ListParagraph"/>
      <w:lvlText w:val=""/>
      <w:lvlJc w:val="left"/>
      <w:pPr>
        <w:ind w:left="720" w:hanging="360"/>
      </w:pPr>
      <w:rPr>
        <w:rFonts w:ascii="Symbol" w:hAnsi="Symbol" w:hint="default"/>
      </w:rPr>
    </w:lvl>
    <w:lvl w:ilvl="1" w:tplc="85A46576">
      <w:start w:val="1"/>
      <w:numFmt w:val="bullet"/>
      <w:lvlText w:val="o"/>
      <w:lvlJc w:val="left"/>
      <w:pPr>
        <w:ind w:left="1440" w:hanging="360"/>
      </w:pPr>
      <w:rPr>
        <w:rFonts w:ascii="Courier New" w:hAnsi="Courier New" w:cs="Courier New" w:hint="default"/>
      </w:rPr>
    </w:lvl>
    <w:lvl w:ilvl="2" w:tplc="EBD619D4" w:tentative="1">
      <w:start w:val="1"/>
      <w:numFmt w:val="bullet"/>
      <w:lvlText w:val=""/>
      <w:lvlJc w:val="left"/>
      <w:pPr>
        <w:ind w:left="2160" w:hanging="360"/>
      </w:pPr>
      <w:rPr>
        <w:rFonts w:ascii="Wingdings" w:hAnsi="Wingdings" w:hint="default"/>
      </w:rPr>
    </w:lvl>
    <w:lvl w:ilvl="3" w:tplc="18B068A0" w:tentative="1">
      <w:start w:val="1"/>
      <w:numFmt w:val="bullet"/>
      <w:lvlText w:val=""/>
      <w:lvlJc w:val="left"/>
      <w:pPr>
        <w:ind w:left="2880" w:hanging="360"/>
      </w:pPr>
      <w:rPr>
        <w:rFonts w:ascii="Symbol" w:hAnsi="Symbol" w:hint="default"/>
      </w:rPr>
    </w:lvl>
    <w:lvl w:ilvl="4" w:tplc="2618CE38" w:tentative="1">
      <w:start w:val="1"/>
      <w:numFmt w:val="bullet"/>
      <w:lvlText w:val="o"/>
      <w:lvlJc w:val="left"/>
      <w:pPr>
        <w:ind w:left="3600" w:hanging="360"/>
      </w:pPr>
      <w:rPr>
        <w:rFonts w:ascii="Courier New" w:hAnsi="Courier New" w:cs="Courier New" w:hint="default"/>
      </w:rPr>
    </w:lvl>
    <w:lvl w:ilvl="5" w:tplc="B8063A08" w:tentative="1">
      <w:start w:val="1"/>
      <w:numFmt w:val="bullet"/>
      <w:lvlText w:val=""/>
      <w:lvlJc w:val="left"/>
      <w:pPr>
        <w:ind w:left="4320" w:hanging="360"/>
      </w:pPr>
      <w:rPr>
        <w:rFonts w:ascii="Wingdings" w:hAnsi="Wingdings" w:hint="default"/>
      </w:rPr>
    </w:lvl>
    <w:lvl w:ilvl="6" w:tplc="C5C6DC1A" w:tentative="1">
      <w:start w:val="1"/>
      <w:numFmt w:val="bullet"/>
      <w:lvlText w:val=""/>
      <w:lvlJc w:val="left"/>
      <w:pPr>
        <w:ind w:left="5040" w:hanging="360"/>
      </w:pPr>
      <w:rPr>
        <w:rFonts w:ascii="Symbol" w:hAnsi="Symbol" w:hint="default"/>
      </w:rPr>
    </w:lvl>
    <w:lvl w:ilvl="7" w:tplc="8BCEC216" w:tentative="1">
      <w:start w:val="1"/>
      <w:numFmt w:val="bullet"/>
      <w:lvlText w:val="o"/>
      <w:lvlJc w:val="left"/>
      <w:pPr>
        <w:ind w:left="5760" w:hanging="360"/>
      </w:pPr>
      <w:rPr>
        <w:rFonts w:ascii="Courier New" w:hAnsi="Courier New" w:cs="Courier New" w:hint="default"/>
      </w:rPr>
    </w:lvl>
    <w:lvl w:ilvl="8" w:tplc="582CF320" w:tentative="1">
      <w:start w:val="1"/>
      <w:numFmt w:val="bullet"/>
      <w:lvlText w:val=""/>
      <w:lvlJc w:val="left"/>
      <w:pPr>
        <w:ind w:left="6480" w:hanging="360"/>
      </w:pPr>
      <w:rPr>
        <w:rFonts w:ascii="Wingdings" w:hAnsi="Wingdings" w:hint="default"/>
      </w:rPr>
    </w:lvl>
  </w:abstractNum>
  <w:abstractNum w:abstractNumId="10" w15:restartNumberingAfterBreak="0">
    <w:nsid w:val="46770590"/>
    <w:multiLevelType w:val="hybridMultilevel"/>
    <w:tmpl w:val="253A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60BA8"/>
    <w:multiLevelType w:val="hybridMultilevel"/>
    <w:tmpl w:val="AFE8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41E6B"/>
    <w:multiLevelType w:val="hybridMultilevel"/>
    <w:tmpl w:val="4A10C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50041"/>
    <w:multiLevelType w:val="hybridMultilevel"/>
    <w:tmpl w:val="BB261828"/>
    <w:lvl w:ilvl="0" w:tplc="4034616C">
      <w:start w:val="1"/>
      <w:numFmt w:val="decimal"/>
      <w:pStyle w:val="NumberParagraph"/>
      <w:lvlText w:val="%1."/>
      <w:lvlJc w:val="left"/>
      <w:pPr>
        <w:ind w:left="720" w:hanging="360"/>
      </w:pPr>
      <w:rPr>
        <w:rFonts w:hint="default"/>
      </w:rPr>
    </w:lvl>
    <w:lvl w:ilvl="1" w:tplc="C252496C">
      <w:start w:val="1"/>
      <w:numFmt w:val="bullet"/>
      <w:lvlText w:val="o"/>
      <w:lvlJc w:val="left"/>
      <w:pPr>
        <w:ind w:left="1440" w:hanging="360"/>
      </w:pPr>
      <w:rPr>
        <w:rFonts w:ascii="Courier New" w:hAnsi="Courier New" w:cs="Courier New" w:hint="default"/>
      </w:rPr>
    </w:lvl>
    <w:lvl w:ilvl="2" w:tplc="350C80D2">
      <w:start w:val="1"/>
      <w:numFmt w:val="bullet"/>
      <w:lvlText w:val=""/>
      <w:lvlJc w:val="left"/>
      <w:pPr>
        <w:ind w:left="2160" w:hanging="360"/>
      </w:pPr>
      <w:rPr>
        <w:rFonts w:ascii="Wingdings" w:hAnsi="Wingdings" w:hint="default"/>
      </w:rPr>
    </w:lvl>
    <w:lvl w:ilvl="3" w:tplc="615A2946" w:tentative="1">
      <w:start w:val="1"/>
      <w:numFmt w:val="bullet"/>
      <w:lvlText w:val=""/>
      <w:lvlJc w:val="left"/>
      <w:pPr>
        <w:ind w:left="2880" w:hanging="360"/>
      </w:pPr>
      <w:rPr>
        <w:rFonts w:ascii="Symbol" w:hAnsi="Symbol" w:hint="default"/>
      </w:rPr>
    </w:lvl>
    <w:lvl w:ilvl="4" w:tplc="C0FC30F6" w:tentative="1">
      <w:start w:val="1"/>
      <w:numFmt w:val="bullet"/>
      <w:lvlText w:val="o"/>
      <w:lvlJc w:val="left"/>
      <w:pPr>
        <w:ind w:left="3600" w:hanging="360"/>
      </w:pPr>
      <w:rPr>
        <w:rFonts w:ascii="Courier New" w:hAnsi="Courier New" w:cs="Courier New" w:hint="default"/>
      </w:rPr>
    </w:lvl>
    <w:lvl w:ilvl="5" w:tplc="9E524E18" w:tentative="1">
      <w:start w:val="1"/>
      <w:numFmt w:val="bullet"/>
      <w:lvlText w:val=""/>
      <w:lvlJc w:val="left"/>
      <w:pPr>
        <w:ind w:left="4320" w:hanging="360"/>
      </w:pPr>
      <w:rPr>
        <w:rFonts w:ascii="Wingdings" w:hAnsi="Wingdings" w:hint="default"/>
      </w:rPr>
    </w:lvl>
    <w:lvl w:ilvl="6" w:tplc="4356C4CA" w:tentative="1">
      <w:start w:val="1"/>
      <w:numFmt w:val="bullet"/>
      <w:lvlText w:val=""/>
      <w:lvlJc w:val="left"/>
      <w:pPr>
        <w:ind w:left="5040" w:hanging="360"/>
      </w:pPr>
      <w:rPr>
        <w:rFonts w:ascii="Symbol" w:hAnsi="Symbol" w:hint="default"/>
      </w:rPr>
    </w:lvl>
    <w:lvl w:ilvl="7" w:tplc="03E84592" w:tentative="1">
      <w:start w:val="1"/>
      <w:numFmt w:val="bullet"/>
      <w:lvlText w:val="o"/>
      <w:lvlJc w:val="left"/>
      <w:pPr>
        <w:ind w:left="5760" w:hanging="360"/>
      </w:pPr>
      <w:rPr>
        <w:rFonts w:ascii="Courier New" w:hAnsi="Courier New" w:cs="Courier New" w:hint="default"/>
      </w:rPr>
    </w:lvl>
    <w:lvl w:ilvl="8" w:tplc="84D8CBFA" w:tentative="1">
      <w:start w:val="1"/>
      <w:numFmt w:val="bullet"/>
      <w:lvlText w:val=""/>
      <w:lvlJc w:val="left"/>
      <w:pPr>
        <w:ind w:left="6480" w:hanging="360"/>
      </w:pPr>
      <w:rPr>
        <w:rFonts w:ascii="Wingdings" w:hAnsi="Wingdings" w:hint="default"/>
      </w:rPr>
    </w:lvl>
  </w:abstractNum>
  <w:abstractNum w:abstractNumId="14" w15:restartNumberingAfterBreak="0">
    <w:nsid w:val="6D2E4F1E"/>
    <w:multiLevelType w:val="hybridMultilevel"/>
    <w:tmpl w:val="FA20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565435"/>
    <w:multiLevelType w:val="hybridMultilevel"/>
    <w:tmpl w:val="8C5E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6F4570"/>
    <w:multiLevelType w:val="hybridMultilevel"/>
    <w:tmpl w:val="305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74811">
    <w:abstractNumId w:val="13"/>
  </w:num>
  <w:num w:numId="2" w16cid:durableId="2119828427">
    <w:abstractNumId w:val="9"/>
  </w:num>
  <w:num w:numId="3" w16cid:durableId="1690644831">
    <w:abstractNumId w:val="3"/>
  </w:num>
  <w:num w:numId="4" w16cid:durableId="852036454">
    <w:abstractNumId w:val="0"/>
  </w:num>
  <w:num w:numId="5" w16cid:durableId="228345288">
    <w:abstractNumId w:val="11"/>
  </w:num>
  <w:num w:numId="6" w16cid:durableId="1108040535">
    <w:abstractNumId w:val="12"/>
  </w:num>
  <w:num w:numId="7" w16cid:durableId="750546779">
    <w:abstractNumId w:val="10"/>
  </w:num>
  <w:num w:numId="8" w16cid:durableId="2051564514">
    <w:abstractNumId w:val="2"/>
  </w:num>
  <w:num w:numId="9" w16cid:durableId="1375347941">
    <w:abstractNumId w:val="1"/>
  </w:num>
  <w:num w:numId="10" w16cid:durableId="917907405">
    <w:abstractNumId w:val="5"/>
  </w:num>
  <w:num w:numId="11" w16cid:durableId="392392447">
    <w:abstractNumId w:val="16"/>
  </w:num>
  <w:num w:numId="12" w16cid:durableId="690570192">
    <w:abstractNumId w:val="7"/>
  </w:num>
  <w:num w:numId="13" w16cid:durableId="1812625424">
    <w:abstractNumId w:val="4"/>
  </w:num>
  <w:num w:numId="14" w16cid:durableId="1200585435">
    <w:abstractNumId w:val="14"/>
  </w:num>
  <w:num w:numId="15" w16cid:durableId="1041633310">
    <w:abstractNumId w:val="15"/>
  </w:num>
  <w:num w:numId="16" w16cid:durableId="1326058230">
    <w:abstractNumId w:val="6"/>
  </w:num>
  <w:num w:numId="17" w16cid:durableId="189747357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1D"/>
    <w:rsid w:val="00003C42"/>
    <w:rsid w:val="00004C4F"/>
    <w:rsid w:val="00007C5F"/>
    <w:rsid w:val="00012942"/>
    <w:rsid w:val="000250B9"/>
    <w:rsid w:val="00027E28"/>
    <w:rsid w:val="000330CB"/>
    <w:rsid w:val="00034683"/>
    <w:rsid w:val="000353B7"/>
    <w:rsid w:val="000404A6"/>
    <w:rsid w:val="000421AC"/>
    <w:rsid w:val="00043694"/>
    <w:rsid w:val="000461A7"/>
    <w:rsid w:val="00050AED"/>
    <w:rsid w:val="00050B92"/>
    <w:rsid w:val="000519C3"/>
    <w:rsid w:val="00051CE2"/>
    <w:rsid w:val="00052E0B"/>
    <w:rsid w:val="0005653E"/>
    <w:rsid w:val="0006272F"/>
    <w:rsid w:val="000655A2"/>
    <w:rsid w:val="00071336"/>
    <w:rsid w:val="0007563D"/>
    <w:rsid w:val="00081EA4"/>
    <w:rsid w:val="00087263"/>
    <w:rsid w:val="000A28F4"/>
    <w:rsid w:val="000B2272"/>
    <w:rsid w:val="000C4A77"/>
    <w:rsid w:val="000C5F3A"/>
    <w:rsid w:val="000D077B"/>
    <w:rsid w:val="000D385E"/>
    <w:rsid w:val="000D5180"/>
    <w:rsid w:val="000E1A37"/>
    <w:rsid w:val="000E24F0"/>
    <w:rsid w:val="000E2667"/>
    <w:rsid w:val="000F3A8D"/>
    <w:rsid w:val="000F57FB"/>
    <w:rsid w:val="001008A7"/>
    <w:rsid w:val="00106498"/>
    <w:rsid w:val="001066BE"/>
    <w:rsid w:val="00107531"/>
    <w:rsid w:val="00107BBA"/>
    <w:rsid w:val="00107C98"/>
    <w:rsid w:val="0011509E"/>
    <w:rsid w:val="00115ADD"/>
    <w:rsid w:val="00115C8A"/>
    <w:rsid w:val="00116CFB"/>
    <w:rsid w:val="0012254E"/>
    <w:rsid w:val="00125125"/>
    <w:rsid w:val="00130FA5"/>
    <w:rsid w:val="00132BD1"/>
    <w:rsid w:val="00145778"/>
    <w:rsid w:val="00152DC8"/>
    <w:rsid w:val="001535E0"/>
    <w:rsid w:val="001577FE"/>
    <w:rsid w:val="001646A1"/>
    <w:rsid w:val="00173C0E"/>
    <w:rsid w:val="00184A41"/>
    <w:rsid w:val="0019167D"/>
    <w:rsid w:val="001A2F46"/>
    <w:rsid w:val="001A46A2"/>
    <w:rsid w:val="001A56F0"/>
    <w:rsid w:val="001B7255"/>
    <w:rsid w:val="001C1294"/>
    <w:rsid w:val="001C49BC"/>
    <w:rsid w:val="001D3DCC"/>
    <w:rsid w:val="001D4E8D"/>
    <w:rsid w:val="001D7087"/>
    <w:rsid w:val="001E0263"/>
    <w:rsid w:val="001E28E3"/>
    <w:rsid w:val="001F1584"/>
    <w:rsid w:val="001F52A5"/>
    <w:rsid w:val="001F7709"/>
    <w:rsid w:val="001F7BBC"/>
    <w:rsid w:val="0020040E"/>
    <w:rsid w:val="002053B1"/>
    <w:rsid w:val="00211741"/>
    <w:rsid w:val="002139FE"/>
    <w:rsid w:val="00216D13"/>
    <w:rsid w:val="00223941"/>
    <w:rsid w:val="0022511E"/>
    <w:rsid w:val="00227345"/>
    <w:rsid w:val="002277BE"/>
    <w:rsid w:val="00243850"/>
    <w:rsid w:val="00243C78"/>
    <w:rsid w:val="00250D78"/>
    <w:rsid w:val="00260E1B"/>
    <w:rsid w:val="00261B45"/>
    <w:rsid w:val="002622E0"/>
    <w:rsid w:val="002706F2"/>
    <w:rsid w:val="002741EC"/>
    <w:rsid w:val="0027437D"/>
    <w:rsid w:val="0028101A"/>
    <w:rsid w:val="00284F5E"/>
    <w:rsid w:val="0029243F"/>
    <w:rsid w:val="00292965"/>
    <w:rsid w:val="0029380E"/>
    <w:rsid w:val="002A40FC"/>
    <w:rsid w:val="002A6D91"/>
    <w:rsid w:val="002B25AE"/>
    <w:rsid w:val="002B6B39"/>
    <w:rsid w:val="002C1D51"/>
    <w:rsid w:val="002D23F8"/>
    <w:rsid w:val="002D27CD"/>
    <w:rsid w:val="002D49EE"/>
    <w:rsid w:val="002F618B"/>
    <w:rsid w:val="002F66FE"/>
    <w:rsid w:val="002F681D"/>
    <w:rsid w:val="002F7714"/>
    <w:rsid w:val="003134B5"/>
    <w:rsid w:val="00313F7D"/>
    <w:rsid w:val="00317065"/>
    <w:rsid w:val="00320DA5"/>
    <w:rsid w:val="003229E0"/>
    <w:rsid w:val="00330567"/>
    <w:rsid w:val="003333B8"/>
    <w:rsid w:val="00336630"/>
    <w:rsid w:val="00343E84"/>
    <w:rsid w:val="003453ED"/>
    <w:rsid w:val="00352000"/>
    <w:rsid w:val="00354366"/>
    <w:rsid w:val="00357BB1"/>
    <w:rsid w:val="00360483"/>
    <w:rsid w:val="0036360D"/>
    <w:rsid w:val="003743E7"/>
    <w:rsid w:val="00380720"/>
    <w:rsid w:val="003834EA"/>
    <w:rsid w:val="00384612"/>
    <w:rsid w:val="00390633"/>
    <w:rsid w:val="003908DB"/>
    <w:rsid w:val="0039277C"/>
    <w:rsid w:val="003A621A"/>
    <w:rsid w:val="003B0FBA"/>
    <w:rsid w:val="003B5F28"/>
    <w:rsid w:val="003B5F53"/>
    <w:rsid w:val="003B6E56"/>
    <w:rsid w:val="003C1F2C"/>
    <w:rsid w:val="003C5D65"/>
    <w:rsid w:val="003D09C6"/>
    <w:rsid w:val="003D2438"/>
    <w:rsid w:val="003E1EBA"/>
    <w:rsid w:val="003E3C1D"/>
    <w:rsid w:val="003E7124"/>
    <w:rsid w:val="00400969"/>
    <w:rsid w:val="00400F65"/>
    <w:rsid w:val="004024CC"/>
    <w:rsid w:val="00402601"/>
    <w:rsid w:val="0040358E"/>
    <w:rsid w:val="00403F98"/>
    <w:rsid w:val="004057C7"/>
    <w:rsid w:val="00412283"/>
    <w:rsid w:val="00413AEA"/>
    <w:rsid w:val="00414910"/>
    <w:rsid w:val="00415D7A"/>
    <w:rsid w:val="0042458E"/>
    <w:rsid w:val="00431F26"/>
    <w:rsid w:val="0044608C"/>
    <w:rsid w:val="004475A7"/>
    <w:rsid w:val="00450F94"/>
    <w:rsid w:val="00451DD2"/>
    <w:rsid w:val="00453BF3"/>
    <w:rsid w:val="0045406D"/>
    <w:rsid w:val="004540D0"/>
    <w:rsid w:val="00456E38"/>
    <w:rsid w:val="0046389C"/>
    <w:rsid w:val="004642C0"/>
    <w:rsid w:val="00466437"/>
    <w:rsid w:val="004678DC"/>
    <w:rsid w:val="00486888"/>
    <w:rsid w:val="00490156"/>
    <w:rsid w:val="004907D7"/>
    <w:rsid w:val="0049361C"/>
    <w:rsid w:val="004942A3"/>
    <w:rsid w:val="004A05A0"/>
    <w:rsid w:val="004A5E7A"/>
    <w:rsid w:val="004A7FCE"/>
    <w:rsid w:val="004B1432"/>
    <w:rsid w:val="004B281C"/>
    <w:rsid w:val="004C2A9F"/>
    <w:rsid w:val="004C41C2"/>
    <w:rsid w:val="004C5EB2"/>
    <w:rsid w:val="004C7508"/>
    <w:rsid w:val="004D1E3C"/>
    <w:rsid w:val="004D4890"/>
    <w:rsid w:val="004D4EDB"/>
    <w:rsid w:val="004D526C"/>
    <w:rsid w:val="004E2685"/>
    <w:rsid w:val="004E48D9"/>
    <w:rsid w:val="004E5190"/>
    <w:rsid w:val="004E6690"/>
    <w:rsid w:val="004E6E8A"/>
    <w:rsid w:val="004F1735"/>
    <w:rsid w:val="004F28D9"/>
    <w:rsid w:val="00506884"/>
    <w:rsid w:val="00521D6B"/>
    <w:rsid w:val="00522A49"/>
    <w:rsid w:val="00523215"/>
    <w:rsid w:val="00524A63"/>
    <w:rsid w:val="00524A8F"/>
    <w:rsid w:val="005258E4"/>
    <w:rsid w:val="00525D32"/>
    <w:rsid w:val="00527F6D"/>
    <w:rsid w:val="00531B4C"/>
    <w:rsid w:val="00532FA5"/>
    <w:rsid w:val="00533722"/>
    <w:rsid w:val="0053647D"/>
    <w:rsid w:val="005412F6"/>
    <w:rsid w:val="00555D15"/>
    <w:rsid w:val="00556DC5"/>
    <w:rsid w:val="0055717D"/>
    <w:rsid w:val="00557572"/>
    <w:rsid w:val="00557C29"/>
    <w:rsid w:val="00560F54"/>
    <w:rsid w:val="005628A6"/>
    <w:rsid w:val="00567255"/>
    <w:rsid w:val="00567F00"/>
    <w:rsid w:val="00570A5E"/>
    <w:rsid w:val="005769FB"/>
    <w:rsid w:val="00582313"/>
    <w:rsid w:val="00583483"/>
    <w:rsid w:val="00585122"/>
    <w:rsid w:val="0058528A"/>
    <w:rsid w:val="00586C00"/>
    <w:rsid w:val="00595866"/>
    <w:rsid w:val="005A2307"/>
    <w:rsid w:val="005A3BB0"/>
    <w:rsid w:val="005A5A31"/>
    <w:rsid w:val="005B0609"/>
    <w:rsid w:val="005C156D"/>
    <w:rsid w:val="005C3452"/>
    <w:rsid w:val="005C6178"/>
    <w:rsid w:val="005D127D"/>
    <w:rsid w:val="005D2C43"/>
    <w:rsid w:val="005D4124"/>
    <w:rsid w:val="005F3874"/>
    <w:rsid w:val="006120E6"/>
    <w:rsid w:val="00621172"/>
    <w:rsid w:val="00632626"/>
    <w:rsid w:val="006363B9"/>
    <w:rsid w:val="00641D3F"/>
    <w:rsid w:val="0064221E"/>
    <w:rsid w:val="006444C1"/>
    <w:rsid w:val="00647AA9"/>
    <w:rsid w:val="00647FCF"/>
    <w:rsid w:val="00650701"/>
    <w:rsid w:val="0065649F"/>
    <w:rsid w:val="00657975"/>
    <w:rsid w:val="00664D98"/>
    <w:rsid w:val="006657F6"/>
    <w:rsid w:val="006668CC"/>
    <w:rsid w:val="00666C4A"/>
    <w:rsid w:val="00671AD2"/>
    <w:rsid w:val="00682A43"/>
    <w:rsid w:val="006842FB"/>
    <w:rsid w:val="0068472D"/>
    <w:rsid w:val="006930CC"/>
    <w:rsid w:val="006942D1"/>
    <w:rsid w:val="00696067"/>
    <w:rsid w:val="006A0375"/>
    <w:rsid w:val="006A1683"/>
    <w:rsid w:val="006B14C7"/>
    <w:rsid w:val="006B3C58"/>
    <w:rsid w:val="006C7331"/>
    <w:rsid w:val="006E2DE5"/>
    <w:rsid w:val="006E68C5"/>
    <w:rsid w:val="006F13EF"/>
    <w:rsid w:val="006F57AB"/>
    <w:rsid w:val="006F7883"/>
    <w:rsid w:val="00712FC4"/>
    <w:rsid w:val="007166B2"/>
    <w:rsid w:val="0071738F"/>
    <w:rsid w:val="00720F44"/>
    <w:rsid w:val="00721DFC"/>
    <w:rsid w:val="00724658"/>
    <w:rsid w:val="0073155B"/>
    <w:rsid w:val="00733D52"/>
    <w:rsid w:val="00735DEB"/>
    <w:rsid w:val="00741D86"/>
    <w:rsid w:val="00743E33"/>
    <w:rsid w:val="00745BED"/>
    <w:rsid w:val="00746504"/>
    <w:rsid w:val="00747C7E"/>
    <w:rsid w:val="00753D06"/>
    <w:rsid w:val="007551E4"/>
    <w:rsid w:val="00755960"/>
    <w:rsid w:val="007572D6"/>
    <w:rsid w:val="00757AFF"/>
    <w:rsid w:val="00760D56"/>
    <w:rsid w:val="00761AC6"/>
    <w:rsid w:val="0076322B"/>
    <w:rsid w:val="00772D07"/>
    <w:rsid w:val="00775429"/>
    <w:rsid w:val="007807D0"/>
    <w:rsid w:val="00784989"/>
    <w:rsid w:val="007908D6"/>
    <w:rsid w:val="00791AE5"/>
    <w:rsid w:val="007930C9"/>
    <w:rsid w:val="0079466D"/>
    <w:rsid w:val="007A032C"/>
    <w:rsid w:val="007A34C6"/>
    <w:rsid w:val="007B05FC"/>
    <w:rsid w:val="007B10FB"/>
    <w:rsid w:val="007B6A2B"/>
    <w:rsid w:val="007C13FC"/>
    <w:rsid w:val="007C5731"/>
    <w:rsid w:val="007D46B0"/>
    <w:rsid w:val="007D71F1"/>
    <w:rsid w:val="007E2EC2"/>
    <w:rsid w:val="007E78FA"/>
    <w:rsid w:val="007F0802"/>
    <w:rsid w:val="007F1C80"/>
    <w:rsid w:val="007F41B0"/>
    <w:rsid w:val="008000C9"/>
    <w:rsid w:val="00802C44"/>
    <w:rsid w:val="00807283"/>
    <w:rsid w:val="00812949"/>
    <w:rsid w:val="00814193"/>
    <w:rsid w:val="00815542"/>
    <w:rsid w:val="00816765"/>
    <w:rsid w:val="00824864"/>
    <w:rsid w:val="00832924"/>
    <w:rsid w:val="0084397F"/>
    <w:rsid w:val="008474AB"/>
    <w:rsid w:val="00851FBA"/>
    <w:rsid w:val="00855159"/>
    <w:rsid w:val="00855E76"/>
    <w:rsid w:val="00857938"/>
    <w:rsid w:val="0086085E"/>
    <w:rsid w:val="0086226D"/>
    <w:rsid w:val="008646AF"/>
    <w:rsid w:val="00870A45"/>
    <w:rsid w:val="0087330D"/>
    <w:rsid w:val="0087599F"/>
    <w:rsid w:val="00893F0F"/>
    <w:rsid w:val="0089597B"/>
    <w:rsid w:val="008B7EB4"/>
    <w:rsid w:val="008C1F54"/>
    <w:rsid w:val="008C2823"/>
    <w:rsid w:val="008C651B"/>
    <w:rsid w:val="008C717F"/>
    <w:rsid w:val="008C7551"/>
    <w:rsid w:val="008D6EA0"/>
    <w:rsid w:val="008E179C"/>
    <w:rsid w:val="008E3D83"/>
    <w:rsid w:val="008F18BF"/>
    <w:rsid w:val="008F2129"/>
    <w:rsid w:val="008F3808"/>
    <w:rsid w:val="008F5125"/>
    <w:rsid w:val="008F6848"/>
    <w:rsid w:val="0090020F"/>
    <w:rsid w:val="009014C4"/>
    <w:rsid w:val="009033BB"/>
    <w:rsid w:val="00903C00"/>
    <w:rsid w:val="00907B73"/>
    <w:rsid w:val="009139EA"/>
    <w:rsid w:val="00917F0B"/>
    <w:rsid w:val="00923E6E"/>
    <w:rsid w:val="009249EB"/>
    <w:rsid w:val="0093040D"/>
    <w:rsid w:val="00930BE5"/>
    <w:rsid w:val="00930E10"/>
    <w:rsid w:val="0093136C"/>
    <w:rsid w:val="00943B5D"/>
    <w:rsid w:val="00957527"/>
    <w:rsid w:val="0096517A"/>
    <w:rsid w:val="009744D7"/>
    <w:rsid w:val="0097575E"/>
    <w:rsid w:val="0098049A"/>
    <w:rsid w:val="00982A63"/>
    <w:rsid w:val="00987FAE"/>
    <w:rsid w:val="00990608"/>
    <w:rsid w:val="00991444"/>
    <w:rsid w:val="0099217D"/>
    <w:rsid w:val="009A08D6"/>
    <w:rsid w:val="009A302A"/>
    <w:rsid w:val="009A40A7"/>
    <w:rsid w:val="009B41E5"/>
    <w:rsid w:val="009B5733"/>
    <w:rsid w:val="009C624A"/>
    <w:rsid w:val="009D7C73"/>
    <w:rsid w:val="009E0F6F"/>
    <w:rsid w:val="009E1FE9"/>
    <w:rsid w:val="009E523E"/>
    <w:rsid w:val="009E7928"/>
    <w:rsid w:val="009F3E5C"/>
    <w:rsid w:val="00A04C85"/>
    <w:rsid w:val="00A116EE"/>
    <w:rsid w:val="00A17610"/>
    <w:rsid w:val="00A2461D"/>
    <w:rsid w:val="00A25C15"/>
    <w:rsid w:val="00A53480"/>
    <w:rsid w:val="00A60862"/>
    <w:rsid w:val="00A61FFA"/>
    <w:rsid w:val="00A65060"/>
    <w:rsid w:val="00A65C9D"/>
    <w:rsid w:val="00A66FB2"/>
    <w:rsid w:val="00A715E4"/>
    <w:rsid w:val="00A72151"/>
    <w:rsid w:val="00A73025"/>
    <w:rsid w:val="00A7365B"/>
    <w:rsid w:val="00A7465A"/>
    <w:rsid w:val="00A7485B"/>
    <w:rsid w:val="00A76A3A"/>
    <w:rsid w:val="00A81C07"/>
    <w:rsid w:val="00A8638F"/>
    <w:rsid w:val="00A913B3"/>
    <w:rsid w:val="00AA2751"/>
    <w:rsid w:val="00AA4C73"/>
    <w:rsid w:val="00AC4333"/>
    <w:rsid w:val="00AC5740"/>
    <w:rsid w:val="00AD36FA"/>
    <w:rsid w:val="00AD3983"/>
    <w:rsid w:val="00AD3B9D"/>
    <w:rsid w:val="00AD43EE"/>
    <w:rsid w:val="00AD52D9"/>
    <w:rsid w:val="00AE52BD"/>
    <w:rsid w:val="00B027CF"/>
    <w:rsid w:val="00B04CC7"/>
    <w:rsid w:val="00B11C66"/>
    <w:rsid w:val="00B20459"/>
    <w:rsid w:val="00B3026A"/>
    <w:rsid w:val="00B31FBF"/>
    <w:rsid w:val="00B32652"/>
    <w:rsid w:val="00B421BD"/>
    <w:rsid w:val="00B43803"/>
    <w:rsid w:val="00B648CA"/>
    <w:rsid w:val="00B74B04"/>
    <w:rsid w:val="00B77AA9"/>
    <w:rsid w:val="00B86593"/>
    <w:rsid w:val="00B87F7F"/>
    <w:rsid w:val="00B90C47"/>
    <w:rsid w:val="00B93D8F"/>
    <w:rsid w:val="00B95685"/>
    <w:rsid w:val="00B97BCC"/>
    <w:rsid w:val="00BA07F8"/>
    <w:rsid w:val="00BA13F7"/>
    <w:rsid w:val="00BA1CF9"/>
    <w:rsid w:val="00BA5F6A"/>
    <w:rsid w:val="00BB1B8C"/>
    <w:rsid w:val="00BB25DA"/>
    <w:rsid w:val="00BC2E78"/>
    <w:rsid w:val="00BD1228"/>
    <w:rsid w:val="00BD204E"/>
    <w:rsid w:val="00BD2398"/>
    <w:rsid w:val="00BD3BB0"/>
    <w:rsid w:val="00BD4D0A"/>
    <w:rsid w:val="00BD6737"/>
    <w:rsid w:val="00BE385D"/>
    <w:rsid w:val="00BE6D82"/>
    <w:rsid w:val="00BE759C"/>
    <w:rsid w:val="00BF675D"/>
    <w:rsid w:val="00BF7341"/>
    <w:rsid w:val="00C10272"/>
    <w:rsid w:val="00C20FB9"/>
    <w:rsid w:val="00C2150F"/>
    <w:rsid w:val="00C23227"/>
    <w:rsid w:val="00C258D1"/>
    <w:rsid w:val="00C25BAB"/>
    <w:rsid w:val="00C26885"/>
    <w:rsid w:val="00C32085"/>
    <w:rsid w:val="00C32C60"/>
    <w:rsid w:val="00C413F8"/>
    <w:rsid w:val="00C47A0B"/>
    <w:rsid w:val="00C53D3A"/>
    <w:rsid w:val="00C63284"/>
    <w:rsid w:val="00C64A43"/>
    <w:rsid w:val="00C6533C"/>
    <w:rsid w:val="00C66A36"/>
    <w:rsid w:val="00C70448"/>
    <w:rsid w:val="00C71E46"/>
    <w:rsid w:val="00C85D53"/>
    <w:rsid w:val="00C8784D"/>
    <w:rsid w:val="00C94D0D"/>
    <w:rsid w:val="00C95634"/>
    <w:rsid w:val="00C9729F"/>
    <w:rsid w:val="00CA0192"/>
    <w:rsid w:val="00CA0D15"/>
    <w:rsid w:val="00CA1627"/>
    <w:rsid w:val="00CA185B"/>
    <w:rsid w:val="00CA37B0"/>
    <w:rsid w:val="00CA74B9"/>
    <w:rsid w:val="00CC1817"/>
    <w:rsid w:val="00CC3D31"/>
    <w:rsid w:val="00CD2B54"/>
    <w:rsid w:val="00CD44C6"/>
    <w:rsid w:val="00CD5CAD"/>
    <w:rsid w:val="00CE2A70"/>
    <w:rsid w:val="00CE31E8"/>
    <w:rsid w:val="00CE395D"/>
    <w:rsid w:val="00CE5681"/>
    <w:rsid w:val="00CF573F"/>
    <w:rsid w:val="00CF7AE5"/>
    <w:rsid w:val="00D009A6"/>
    <w:rsid w:val="00D0218D"/>
    <w:rsid w:val="00D02A79"/>
    <w:rsid w:val="00D03654"/>
    <w:rsid w:val="00D10B64"/>
    <w:rsid w:val="00D12B53"/>
    <w:rsid w:val="00D15852"/>
    <w:rsid w:val="00D23DB7"/>
    <w:rsid w:val="00D2545B"/>
    <w:rsid w:val="00D3655A"/>
    <w:rsid w:val="00D41B6D"/>
    <w:rsid w:val="00D5382A"/>
    <w:rsid w:val="00D54CA8"/>
    <w:rsid w:val="00D56BF6"/>
    <w:rsid w:val="00D57B16"/>
    <w:rsid w:val="00D60125"/>
    <w:rsid w:val="00D60D95"/>
    <w:rsid w:val="00D61E8F"/>
    <w:rsid w:val="00D63028"/>
    <w:rsid w:val="00D63918"/>
    <w:rsid w:val="00D671D4"/>
    <w:rsid w:val="00D720CC"/>
    <w:rsid w:val="00D73FC0"/>
    <w:rsid w:val="00D83DC0"/>
    <w:rsid w:val="00D874B5"/>
    <w:rsid w:val="00D94195"/>
    <w:rsid w:val="00D9702A"/>
    <w:rsid w:val="00D976E1"/>
    <w:rsid w:val="00DA40B6"/>
    <w:rsid w:val="00DB11AF"/>
    <w:rsid w:val="00DB4BB6"/>
    <w:rsid w:val="00DC4A0D"/>
    <w:rsid w:val="00DD7BEF"/>
    <w:rsid w:val="00DE0538"/>
    <w:rsid w:val="00DF5AAE"/>
    <w:rsid w:val="00E106E2"/>
    <w:rsid w:val="00E13F97"/>
    <w:rsid w:val="00E14A62"/>
    <w:rsid w:val="00E14E0A"/>
    <w:rsid w:val="00E21A37"/>
    <w:rsid w:val="00E21FDC"/>
    <w:rsid w:val="00E3353A"/>
    <w:rsid w:val="00E33758"/>
    <w:rsid w:val="00E36178"/>
    <w:rsid w:val="00E37029"/>
    <w:rsid w:val="00E459B2"/>
    <w:rsid w:val="00E46D5A"/>
    <w:rsid w:val="00E46EA4"/>
    <w:rsid w:val="00E51213"/>
    <w:rsid w:val="00E53D82"/>
    <w:rsid w:val="00E54B2C"/>
    <w:rsid w:val="00E65BDE"/>
    <w:rsid w:val="00E70944"/>
    <w:rsid w:val="00E728F2"/>
    <w:rsid w:val="00E73386"/>
    <w:rsid w:val="00E74520"/>
    <w:rsid w:val="00E750A7"/>
    <w:rsid w:val="00E75D61"/>
    <w:rsid w:val="00E810F5"/>
    <w:rsid w:val="00E829A9"/>
    <w:rsid w:val="00E8470F"/>
    <w:rsid w:val="00E90CE0"/>
    <w:rsid w:val="00E944CF"/>
    <w:rsid w:val="00E97E19"/>
    <w:rsid w:val="00EA2BA2"/>
    <w:rsid w:val="00EA36D0"/>
    <w:rsid w:val="00EA52B0"/>
    <w:rsid w:val="00EB3918"/>
    <w:rsid w:val="00EB6EF9"/>
    <w:rsid w:val="00EC0AF1"/>
    <w:rsid w:val="00EC2C7A"/>
    <w:rsid w:val="00EC4D5D"/>
    <w:rsid w:val="00EC6CD2"/>
    <w:rsid w:val="00ED08F4"/>
    <w:rsid w:val="00ED5994"/>
    <w:rsid w:val="00ED67C6"/>
    <w:rsid w:val="00EE1F68"/>
    <w:rsid w:val="00EE378A"/>
    <w:rsid w:val="00EF34A0"/>
    <w:rsid w:val="00F00053"/>
    <w:rsid w:val="00F00FD0"/>
    <w:rsid w:val="00F04701"/>
    <w:rsid w:val="00F048C5"/>
    <w:rsid w:val="00F054D1"/>
    <w:rsid w:val="00F11F2E"/>
    <w:rsid w:val="00F311CC"/>
    <w:rsid w:val="00F34038"/>
    <w:rsid w:val="00F358E5"/>
    <w:rsid w:val="00F36AF3"/>
    <w:rsid w:val="00F55CD4"/>
    <w:rsid w:val="00F66D1E"/>
    <w:rsid w:val="00F6733B"/>
    <w:rsid w:val="00F705CF"/>
    <w:rsid w:val="00F81094"/>
    <w:rsid w:val="00F83780"/>
    <w:rsid w:val="00F854E6"/>
    <w:rsid w:val="00F865A8"/>
    <w:rsid w:val="00F91204"/>
    <w:rsid w:val="00F96588"/>
    <w:rsid w:val="00FA6695"/>
    <w:rsid w:val="00FB2FC5"/>
    <w:rsid w:val="00FB371E"/>
    <w:rsid w:val="00FB42E8"/>
    <w:rsid w:val="00FB4C92"/>
    <w:rsid w:val="00FB5A8F"/>
    <w:rsid w:val="00FC268E"/>
    <w:rsid w:val="00FC4285"/>
    <w:rsid w:val="00FC4C5C"/>
    <w:rsid w:val="00FD67FF"/>
    <w:rsid w:val="00FE5FCB"/>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EB223"/>
  <w15:chartTrackingRefBased/>
  <w15:docId w15:val="{5649B4B3-096C-4D6E-87BF-ECFCE894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C4"/>
    <w:rPr>
      <w:rFonts w:ascii="Montserrat" w:hAnsi="Montserrat"/>
    </w:rPr>
  </w:style>
  <w:style w:type="paragraph" w:styleId="Heading1">
    <w:name w:val="heading 1"/>
    <w:basedOn w:val="Normal"/>
    <w:next w:val="Normal"/>
    <w:link w:val="Heading1Char"/>
    <w:uiPriority w:val="9"/>
    <w:qFormat/>
    <w:rsid w:val="001A56F0"/>
    <w:pPr>
      <w:keepNext/>
      <w:keepLines/>
      <w:spacing w:before="245"/>
      <w:outlineLvl w:val="0"/>
    </w:pPr>
    <w:rPr>
      <w:rFonts w:eastAsiaTheme="majorEastAsia" w:cstheme="majorBidi"/>
      <w:b/>
      <w:color w:val="283C75"/>
      <w:sz w:val="36"/>
      <w:szCs w:val="32"/>
    </w:rPr>
  </w:style>
  <w:style w:type="paragraph" w:styleId="Heading2">
    <w:name w:val="heading 2"/>
    <w:basedOn w:val="Normal"/>
    <w:next w:val="Normal"/>
    <w:link w:val="Heading2Char"/>
    <w:uiPriority w:val="9"/>
    <w:unhideWhenUsed/>
    <w:qFormat/>
    <w:rsid w:val="008F18BF"/>
    <w:pPr>
      <w:keepNext/>
      <w:keepLines/>
      <w:spacing w:before="120" w:after="120"/>
      <w:outlineLvl w:val="1"/>
    </w:pPr>
    <w:rPr>
      <w:rFonts w:eastAsiaTheme="majorEastAsia" w:cstheme="majorBidi"/>
      <w:b/>
      <w:color w:val="8A1B61"/>
      <w:sz w:val="28"/>
      <w:szCs w:val="26"/>
    </w:rPr>
  </w:style>
  <w:style w:type="paragraph" w:styleId="Heading3">
    <w:name w:val="heading 3"/>
    <w:basedOn w:val="Normal"/>
    <w:next w:val="Normal"/>
    <w:link w:val="Heading3Char"/>
    <w:uiPriority w:val="9"/>
    <w:unhideWhenUsed/>
    <w:qFormat/>
    <w:rsid w:val="00506884"/>
    <w:pPr>
      <w:keepNext/>
      <w:keepLines/>
      <w:spacing w:before="120" w:after="120"/>
      <w:outlineLvl w:val="2"/>
    </w:pPr>
    <w:rPr>
      <w:b/>
      <w:color w:val="283C75"/>
      <w:sz w:val="24"/>
    </w:rPr>
  </w:style>
  <w:style w:type="paragraph" w:styleId="Heading4">
    <w:name w:val="heading 4"/>
    <w:basedOn w:val="Normal"/>
    <w:next w:val="Normal"/>
    <w:link w:val="Heading4Char"/>
    <w:uiPriority w:val="9"/>
    <w:unhideWhenUsed/>
    <w:qFormat/>
    <w:rsid w:val="004E5190"/>
    <w:pPr>
      <w:keepNext/>
      <w:outlineLvl w:val="3"/>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681D"/>
    <w:pPr>
      <w:tabs>
        <w:tab w:val="center" w:pos="4680"/>
        <w:tab w:val="right" w:pos="9360"/>
      </w:tabs>
      <w:spacing w:after="0" w:line="240" w:lineRule="auto"/>
    </w:pPr>
  </w:style>
  <w:style w:type="character" w:customStyle="1" w:styleId="HeaderChar">
    <w:name w:val="Header Char"/>
    <w:basedOn w:val="DefaultParagraphFont"/>
    <w:link w:val="Header"/>
    <w:rsid w:val="002F681D"/>
  </w:style>
  <w:style w:type="paragraph" w:styleId="Footer">
    <w:name w:val="footer"/>
    <w:basedOn w:val="Normal"/>
    <w:link w:val="FooterChar"/>
    <w:uiPriority w:val="99"/>
    <w:unhideWhenUsed/>
    <w:rsid w:val="000F3A8D"/>
    <w:pPr>
      <w:tabs>
        <w:tab w:val="center" w:pos="4680"/>
        <w:tab w:val="right" w:pos="9360"/>
      </w:tabs>
      <w:spacing w:after="0" w:line="240" w:lineRule="auto"/>
    </w:pPr>
    <w:rPr>
      <w:color w:val="343A4A"/>
    </w:rPr>
  </w:style>
  <w:style w:type="character" w:customStyle="1" w:styleId="FooterChar">
    <w:name w:val="Footer Char"/>
    <w:basedOn w:val="DefaultParagraphFont"/>
    <w:link w:val="Footer"/>
    <w:uiPriority w:val="99"/>
    <w:rsid w:val="000F3A8D"/>
    <w:rPr>
      <w:rFonts w:ascii="Montserrat" w:hAnsi="Montserrat"/>
      <w:color w:val="343A4A"/>
    </w:rPr>
  </w:style>
  <w:style w:type="paragraph" w:styleId="ListParagraph">
    <w:name w:val="List Paragraph"/>
    <w:basedOn w:val="Normal"/>
    <w:uiPriority w:val="34"/>
    <w:qFormat/>
    <w:rsid w:val="00855159"/>
    <w:pPr>
      <w:numPr>
        <w:numId w:val="2"/>
      </w:numPr>
    </w:pPr>
  </w:style>
  <w:style w:type="paragraph" w:styleId="Revision">
    <w:name w:val="Revision"/>
    <w:hidden/>
    <w:uiPriority w:val="99"/>
    <w:semiHidden/>
    <w:rsid w:val="00243850"/>
    <w:pPr>
      <w:spacing w:after="0" w:line="240" w:lineRule="auto"/>
    </w:pPr>
    <w:rPr>
      <w:rFonts w:ascii="Times New Roman" w:hAnsi="Times New Roman"/>
    </w:rPr>
  </w:style>
  <w:style w:type="character" w:styleId="CommentReference">
    <w:name w:val="annotation reference"/>
    <w:basedOn w:val="DefaultParagraphFont"/>
    <w:semiHidden/>
    <w:unhideWhenUsed/>
    <w:rsid w:val="00243850"/>
    <w:rPr>
      <w:sz w:val="16"/>
      <w:szCs w:val="16"/>
    </w:rPr>
  </w:style>
  <w:style w:type="paragraph" w:styleId="CommentText">
    <w:name w:val="annotation text"/>
    <w:basedOn w:val="Normal"/>
    <w:link w:val="CommentTextChar"/>
    <w:unhideWhenUsed/>
    <w:rsid w:val="00243850"/>
    <w:pPr>
      <w:spacing w:line="240" w:lineRule="auto"/>
    </w:pPr>
    <w:rPr>
      <w:sz w:val="20"/>
      <w:szCs w:val="20"/>
    </w:rPr>
  </w:style>
  <w:style w:type="character" w:customStyle="1" w:styleId="CommentTextChar">
    <w:name w:val="Comment Text Char"/>
    <w:basedOn w:val="DefaultParagraphFont"/>
    <w:link w:val="CommentText"/>
    <w:rsid w:val="002438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3850"/>
    <w:rPr>
      <w:b/>
      <w:bCs/>
    </w:rPr>
  </w:style>
  <w:style w:type="character" w:customStyle="1" w:styleId="CommentSubjectChar">
    <w:name w:val="Comment Subject Char"/>
    <w:basedOn w:val="CommentTextChar"/>
    <w:link w:val="CommentSubject"/>
    <w:uiPriority w:val="99"/>
    <w:semiHidden/>
    <w:rsid w:val="00243850"/>
    <w:rPr>
      <w:rFonts w:ascii="Times New Roman" w:hAnsi="Times New Roman"/>
      <w:b/>
      <w:bCs/>
      <w:sz w:val="20"/>
      <w:szCs w:val="20"/>
    </w:rPr>
  </w:style>
  <w:style w:type="paragraph" w:customStyle="1" w:styleId="TOCPage">
    <w:name w:val="TOCPage"/>
    <w:basedOn w:val="Normal"/>
    <w:qFormat/>
    <w:rsid w:val="009249EB"/>
    <w:pPr>
      <w:spacing w:after="0" w:line="240" w:lineRule="exact"/>
      <w:ind w:right="374"/>
      <w:jc w:val="right"/>
    </w:pPr>
    <w:rPr>
      <w:rFonts w:eastAsia="Times New Roman" w:cs="Times New Roman"/>
      <w:sz w:val="24"/>
      <w:szCs w:val="24"/>
      <w:u w:val="single"/>
    </w:rPr>
  </w:style>
  <w:style w:type="character" w:styleId="Hyperlink">
    <w:name w:val="Hyperlink"/>
    <w:basedOn w:val="DefaultParagraphFont"/>
    <w:uiPriority w:val="99"/>
    <w:unhideWhenUsed/>
    <w:rsid w:val="001E28E3"/>
    <w:rPr>
      <w:color w:val="0563C1" w:themeColor="hyperlink"/>
      <w:u w:val="single"/>
    </w:rPr>
  </w:style>
  <w:style w:type="character" w:styleId="UnresolvedMention">
    <w:name w:val="Unresolved Mention"/>
    <w:basedOn w:val="DefaultParagraphFont"/>
    <w:uiPriority w:val="99"/>
    <w:rsid w:val="001E28E3"/>
    <w:rPr>
      <w:color w:val="605E5C"/>
      <w:shd w:val="clear" w:color="auto" w:fill="E1DFDD"/>
    </w:rPr>
  </w:style>
  <w:style w:type="character" w:styleId="FollowedHyperlink">
    <w:name w:val="FollowedHyperlink"/>
    <w:basedOn w:val="DefaultParagraphFont"/>
    <w:uiPriority w:val="99"/>
    <w:semiHidden/>
    <w:unhideWhenUsed/>
    <w:rsid w:val="00C25BAB"/>
    <w:rPr>
      <w:color w:val="954F72" w:themeColor="followedHyperlink"/>
      <w:u w:val="single"/>
    </w:rPr>
  </w:style>
  <w:style w:type="character" w:customStyle="1" w:styleId="cf01">
    <w:name w:val="cf01"/>
    <w:basedOn w:val="DefaultParagraphFont"/>
    <w:rsid w:val="00AD36FA"/>
    <w:rPr>
      <w:rFonts w:ascii="Segoe UI" w:hAnsi="Segoe UI" w:cs="Segoe UI" w:hint="default"/>
      <w:sz w:val="18"/>
      <w:szCs w:val="18"/>
    </w:rPr>
  </w:style>
  <w:style w:type="paragraph" w:customStyle="1" w:styleId="pf0">
    <w:name w:val="pf0"/>
    <w:basedOn w:val="Normal"/>
    <w:rsid w:val="002B6B39"/>
    <w:pPr>
      <w:spacing w:before="100" w:beforeAutospacing="1" w:after="100" w:afterAutospacing="1" w:line="240" w:lineRule="auto"/>
    </w:pPr>
    <w:rPr>
      <w:rFonts w:eastAsia="Times New Roman" w:cs="Times New Roman"/>
      <w:sz w:val="24"/>
      <w:szCs w:val="24"/>
    </w:rPr>
  </w:style>
  <w:style w:type="character" w:customStyle="1" w:styleId="cf11">
    <w:name w:val="cf11"/>
    <w:basedOn w:val="DefaultParagraphFont"/>
    <w:rsid w:val="002B6B39"/>
    <w:rPr>
      <w:rFonts w:ascii="Segoe UI" w:hAnsi="Segoe UI" w:cs="Segoe UI" w:hint="default"/>
      <w:b/>
      <w:bCs/>
      <w:color w:val="2F5496"/>
      <w:sz w:val="18"/>
      <w:szCs w:val="18"/>
    </w:rPr>
  </w:style>
  <w:style w:type="character" w:customStyle="1" w:styleId="Heading1Char">
    <w:name w:val="Heading 1 Char"/>
    <w:basedOn w:val="DefaultParagraphFont"/>
    <w:link w:val="Heading1"/>
    <w:uiPriority w:val="9"/>
    <w:rsid w:val="001A56F0"/>
    <w:rPr>
      <w:rFonts w:ascii="Montserrat" w:eastAsiaTheme="majorEastAsia" w:hAnsi="Montserrat" w:cstheme="majorBidi"/>
      <w:b/>
      <w:color w:val="283C75"/>
      <w:sz w:val="36"/>
      <w:szCs w:val="32"/>
    </w:rPr>
  </w:style>
  <w:style w:type="character" w:customStyle="1" w:styleId="Heading2Char">
    <w:name w:val="Heading 2 Char"/>
    <w:basedOn w:val="DefaultParagraphFont"/>
    <w:link w:val="Heading2"/>
    <w:uiPriority w:val="9"/>
    <w:rsid w:val="008F18BF"/>
    <w:rPr>
      <w:rFonts w:ascii="Montserrat" w:eastAsiaTheme="majorEastAsia" w:hAnsi="Montserrat" w:cstheme="majorBidi"/>
      <w:b/>
      <w:color w:val="8A1B61"/>
      <w:sz w:val="28"/>
      <w:szCs w:val="26"/>
    </w:rPr>
  </w:style>
  <w:style w:type="paragraph" w:styleId="TOCHeading">
    <w:name w:val="TOC Heading"/>
    <w:basedOn w:val="Heading1"/>
    <w:next w:val="Normal"/>
    <w:uiPriority w:val="39"/>
    <w:unhideWhenUsed/>
    <w:qFormat/>
    <w:rsid w:val="00BB25DA"/>
    <w:pPr>
      <w:spacing w:before="240"/>
      <w:outlineLvl w:val="9"/>
    </w:pPr>
    <w:rPr>
      <w:rFonts w:asciiTheme="majorHAnsi" w:hAnsiTheme="majorHAnsi"/>
      <w:b w:val="0"/>
      <w:sz w:val="32"/>
    </w:rPr>
  </w:style>
  <w:style w:type="paragraph" w:styleId="TOC1">
    <w:name w:val="toc 1"/>
    <w:basedOn w:val="Normal"/>
    <w:next w:val="Normal"/>
    <w:autoRedefine/>
    <w:uiPriority w:val="39"/>
    <w:unhideWhenUsed/>
    <w:rsid w:val="001A56F0"/>
    <w:pPr>
      <w:tabs>
        <w:tab w:val="right" w:leader="dot" w:pos="10790"/>
      </w:tabs>
      <w:spacing w:before="60" w:after="0"/>
    </w:pPr>
    <w:rPr>
      <w:b/>
      <w:color w:val="283C75"/>
    </w:rPr>
  </w:style>
  <w:style w:type="paragraph" w:styleId="TOC2">
    <w:name w:val="toc 2"/>
    <w:basedOn w:val="Normal"/>
    <w:next w:val="Normal"/>
    <w:autoRedefine/>
    <w:uiPriority w:val="39"/>
    <w:unhideWhenUsed/>
    <w:rsid w:val="00050AED"/>
    <w:pPr>
      <w:tabs>
        <w:tab w:val="right" w:leader="dot" w:pos="10070"/>
      </w:tabs>
      <w:spacing w:after="0" w:line="240" w:lineRule="auto"/>
      <w:ind w:left="360" w:right="360"/>
    </w:pPr>
    <w:rPr>
      <w:sz w:val="20"/>
    </w:rPr>
  </w:style>
  <w:style w:type="character" w:styleId="Emphasis">
    <w:name w:val="Emphasis"/>
    <w:uiPriority w:val="20"/>
    <w:rsid w:val="000E2667"/>
    <w:rPr>
      <w:b/>
      <w:bCs/>
    </w:rPr>
  </w:style>
  <w:style w:type="paragraph" w:styleId="NoSpacing">
    <w:name w:val="No Spacing"/>
    <w:uiPriority w:val="1"/>
    <w:qFormat/>
    <w:rsid w:val="00917F0B"/>
    <w:pPr>
      <w:spacing w:after="0" w:line="240" w:lineRule="auto"/>
    </w:pPr>
  </w:style>
  <w:style w:type="character" w:customStyle="1" w:styleId="Heading3Char">
    <w:name w:val="Heading 3 Char"/>
    <w:basedOn w:val="DefaultParagraphFont"/>
    <w:link w:val="Heading3"/>
    <w:uiPriority w:val="9"/>
    <w:rsid w:val="00506884"/>
    <w:rPr>
      <w:rFonts w:ascii="Montserrat" w:hAnsi="Montserrat"/>
      <w:b/>
      <w:color w:val="283C75"/>
      <w:sz w:val="24"/>
    </w:rPr>
  </w:style>
  <w:style w:type="numbering" w:customStyle="1" w:styleId="Normalbullets">
    <w:name w:val="Normal bullets"/>
    <w:basedOn w:val="NoList"/>
    <w:uiPriority w:val="99"/>
    <w:rsid w:val="00D60D95"/>
    <w:pPr>
      <w:numPr>
        <w:numId w:val="3"/>
      </w:numPr>
    </w:pPr>
  </w:style>
  <w:style w:type="paragraph" w:styleId="Title">
    <w:name w:val="Title"/>
    <w:basedOn w:val="Heading1"/>
    <w:next w:val="Normal"/>
    <w:link w:val="TitleChar"/>
    <w:uiPriority w:val="10"/>
    <w:qFormat/>
    <w:rsid w:val="001A56F0"/>
    <w:rPr>
      <w:sz w:val="40"/>
    </w:rPr>
  </w:style>
  <w:style w:type="character" w:customStyle="1" w:styleId="TitleChar">
    <w:name w:val="Title Char"/>
    <w:basedOn w:val="DefaultParagraphFont"/>
    <w:link w:val="Title"/>
    <w:uiPriority w:val="10"/>
    <w:rsid w:val="001A56F0"/>
    <w:rPr>
      <w:rFonts w:ascii="Montserrat" w:eastAsiaTheme="majorEastAsia" w:hAnsi="Montserrat" w:cstheme="majorBidi"/>
      <w:b/>
      <w:color w:val="283C75"/>
      <w:sz w:val="40"/>
      <w:szCs w:val="32"/>
    </w:rPr>
  </w:style>
  <w:style w:type="character" w:customStyle="1" w:styleId="Heading4Char">
    <w:name w:val="Heading 4 Char"/>
    <w:basedOn w:val="DefaultParagraphFont"/>
    <w:link w:val="Heading4"/>
    <w:uiPriority w:val="9"/>
    <w:rsid w:val="004E5190"/>
    <w:rPr>
      <w:rFonts w:ascii="Montserrat" w:hAnsi="Montserrat" w:cs="Calibri"/>
      <w:b/>
      <w:bCs/>
    </w:rPr>
  </w:style>
  <w:style w:type="character" w:customStyle="1" w:styleId="normaltextrun">
    <w:name w:val="normaltextrun"/>
    <w:basedOn w:val="DefaultParagraphFont"/>
    <w:rsid w:val="00791AE5"/>
  </w:style>
  <w:style w:type="paragraph" w:customStyle="1" w:styleId="NumberParagraph">
    <w:name w:val="Number Paragraph"/>
    <w:basedOn w:val="ListParagraph"/>
    <w:qFormat/>
    <w:rsid w:val="00855159"/>
    <w:pPr>
      <w:numPr>
        <w:numId w:val="1"/>
      </w:numPr>
      <w:spacing w:line="240" w:lineRule="auto"/>
      <w:jc w:val="both"/>
      <w:textAlignment w:val="center"/>
    </w:pPr>
    <w:rPr>
      <w:rFonts w:ascii="Calibri" w:hAnsi="Calibri" w:cs="Calibri"/>
    </w:rPr>
  </w:style>
  <w:style w:type="paragraph" w:customStyle="1" w:styleId="paragraph">
    <w:name w:val="paragraph"/>
    <w:basedOn w:val="Normal"/>
    <w:rsid w:val="00292965"/>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292965"/>
  </w:style>
  <w:style w:type="paragraph" w:styleId="TOC3">
    <w:name w:val="toc 3"/>
    <w:basedOn w:val="Normal"/>
    <w:next w:val="Normal"/>
    <w:autoRedefine/>
    <w:uiPriority w:val="39"/>
    <w:unhideWhenUsed/>
    <w:rsid w:val="00E8470F"/>
    <w:pPr>
      <w:spacing w:after="100"/>
      <w:ind w:left="440"/>
    </w:pPr>
  </w:style>
  <w:style w:type="paragraph" w:customStyle="1" w:styleId="xmsolistparagraph">
    <w:name w:val="x_msolistparagraph"/>
    <w:basedOn w:val="Normal"/>
    <w:rsid w:val="00FB2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2FC5"/>
  </w:style>
  <w:style w:type="paragraph" w:customStyle="1" w:styleId="DocID">
    <w:name w:val="DocID"/>
    <w:basedOn w:val="Footer"/>
    <w:next w:val="Footer"/>
    <w:link w:val="DocIDChar"/>
    <w:rsid w:val="00CA1627"/>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CA1627"/>
    <w:rPr>
      <w:rFonts w:ascii="Times New Roman" w:eastAsia="Times New Roman" w:hAnsi="Times New Roman" w:cs="Times New Roman"/>
      <w:sz w:val="16"/>
      <w:szCs w:val="20"/>
      <w:lang w:val="en-US" w:eastAsia="en-US"/>
    </w:rPr>
  </w:style>
  <w:style w:type="paragraph" w:styleId="BodyText">
    <w:name w:val="Body Text"/>
    <w:basedOn w:val="Normal"/>
    <w:link w:val="BodyTextChar"/>
    <w:uiPriority w:val="99"/>
    <w:unhideWhenUsed/>
    <w:rsid w:val="00E46EA4"/>
    <w:pPr>
      <w:spacing w:after="200"/>
    </w:pPr>
  </w:style>
  <w:style w:type="character" w:customStyle="1" w:styleId="BodyTextChar">
    <w:name w:val="Body Text Char"/>
    <w:basedOn w:val="DefaultParagraphFont"/>
    <w:link w:val="BodyText"/>
    <w:uiPriority w:val="99"/>
    <w:rsid w:val="00E46EA4"/>
    <w:rPr>
      <w:rFonts w:ascii="Montserrat" w:hAnsi="Montserrat"/>
    </w:rPr>
  </w:style>
  <w:style w:type="paragraph" w:customStyle="1" w:styleId="Name">
    <w:name w:val="Name"/>
    <w:basedOn w:val="Normal"/>
    <w:qFormat/>
    <w:rsid w:val="00557572"/>
    <w:pPr>
      <w:spacing w:before="80" w:after="0" w:line="240" w:lineRule="auto"/>
      <w:ind w:left="360"/>
    </w:pPr>
    <w:rPr>
      <w:rFonts w:ascii="Segoe UI Semibold" w:hAnsi="Segoe UI Semibold" w:cs="Segoe UI Semibold"/>
      <w:sz w:val="20"/>
    </w:rPr>
  </w:style>
  <w:style w:type="paragraph" w:customStyle="1" w:styleId="TitlePageReportType">
    <w:name w:val="Title Page Report Type"/>
    <w:basedOn w:val="Normal"/>
    <w:qFormat/>
    <w:rsid w:val="00557572"/>
    <w:pPr>
      <w:spacing w:before="1200" w:after="0"/>
    </w:pPr>
    <w:rPr>
      <w:rFonts w:ascii="Segoe UI Semibold" w:hAnsi="Segoe UI Semibold" w:cs="Segoe UI Semibold"/>
      <w:smallCaps/>
      <w:color w:val="6F6F6F"/>
      <w:sz w:val="28"/>
      <w:szCs w:val="24"/>
    </w:rPr>
  </w:style>
  <w:style w:type="paragraph" w:customStyle="1" w:styleId="TitlePageNormal">
    <w:name w:val="Title Page Normal"/>
    <w:basedOn w:val="Name"/>
    <w:qFormat/>
    <w:rsid w:val="00557572"/>
    <w:pPr>
      <w:spacing w:before="60"/>
    </w:pPr>
    <w:rPr>
      <w:sz w:val="18"/>
      <w:szCs w:val="20"/>
    </w:rPr>
  </w:style>
  <w:style w:type="paragraph" w:customStyle="1" w:styleId="TitlePrepared">
    <w:name w:val="Title Prepared"/>
    <w:basedOn w:val="Normal"/>
    <w:qFormat/>
    <w:rsid w:val="00557572"/>
    <w:pPr>
      <w:spacing w:before="1920" w:after="0"/>
      <w:ind w:left="360"/>
    </w:pPr>
    <w:rPr>
      <w:rFonts w:ascii="Segoe UI" w:hAnsi="Segoe UI" w:cs="Segoe UI"/>
      <w:sz w:val="18"/>
    </w:rPr>
  </w:style>
  <w:style w:type="table" w:styleId="TableGrid">
    <w:name w:val="Table Grid"/>
    <w:basedOn w:val="TableNormal"/>
    <w:uiPriority w:val="39"/>
    <w:rsid w:val="00C632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BB962DE4CF5419254D5F1FBC18BE3" ma:contentTypeVersion="25" ma:contentTypeDescription="Create a new document." ma:contentTypeScope="" ma:versionID="5ed4e21811acda13745bf23489ad3942">
  <xsd:schema xmlns:xsd="http://www.w3.org/2001/XMLSchema" xmlns:xs="http://www.w3.org/2001/XMLSchema" xmlns:p="http://schemas.microsoft.com/office/2006/metadata/properties" xmlns:ns1="http://schemas.microsoft.com/sharepoint/v3" xmlns:ns2="e377e5a3-debe-4485-803d-a1c0b57fd56a" xmlns:ns3="01078151-a386-4ac4-83ce-6e1d0dc09bfb" targetNamespace="http://schemas.microsoft.com/office/2006/metadata/properties" ma:root="true" ma:fieldsID="45e3dafb2a4546e69ece7bb411c9ab78" ns1:_="" ns2:_="" ns3:_="">
    <xsd:import namespace="http://schemas.microsoft.com/sharepoint/v3"/>
    <xsd:import namespace="e377e5a3-debe-4485-803d-a1c0b57fd56a"/>
    <xsd:import namespace="01078151-a386-4ac4-83ce-6e1d0dc09b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e5a3-debe-4485-803d-a1c0b57fd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78151-a386-4ac4-83ce-6e1d0dc09b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a72999-4054-475f-9798-192819792bcb}" ma:internalName="TaxCatchAll" ma:showField="CatchAllData" ma:web="01078151-a386-4ac4-83ce-6e1d0dc0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e5a3-debe-4485-803d-a1c0b57fd56a">
      <Terms xmlns="http://schemas.microsoft.com/office/infopath/2007/PartnerControls"/>
    </lcf76f155ced4ddcb4097134ff3c332f>
    <TaxCatchAll xmlns="01078151-a386-4ac4-83ce-6e1d0dc09bfb" xsi:nil="true"/>
    <Notes xmlns="e377e5a3-debe-4485-803d-a1c0b57fd56a" xsi:nil="true"/>
    <SharedWithUsers xmlns="01078151-a386-4ac4-83ce-6e1d0dc09bfb">
      <UserInfo>
        <DisplayName>Tessa Lero</DisplayName>
        <AccountId>24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20F12-34CD-44E9-A39D-74556DDB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77e5a3-debe-4485-803d-a1c0b57fd56a"/>
    <ds:schemaRef ds:uri="01078151-a386-4ac4-83ce-6e1d0dc0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4FA2E-9B5B-475F-9375-5D95F0DB1BB6}">
  <ds:schemaRefs>
    <ds:schemaRef ds:uri="http://schemas.openxmlformats.org/officeDocument/2006/bibliography"/>
  </ds:schemaRefs>
</ds:datastoreItem>
</file>

<file path=customXml/itemProps3.xml><?xml version="1.0" encoding="utf-8"?>
<ds:datastoreItem xmlns:ds="http://schemas.openxmlformats.org/officeDocument/2006/customXml" ds:itemID="{4765CEE3-D3EE-461B-A613-2E3372CB8736}">
  <ds:schemaRefs>
    <ds:schemaRef ds:uri="http://purl.org/dc/dcmitype/"/>
    <ds:schemaRef ds:uri="01078151-a386-4ac4-83ce-6e1d0dc09bfb"/>
    <ds:schemaRef ds:uri="e377e5a3-debe-4485-803d-a1c0b57fd56a"/>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A4A867FA-CDDD-446E-A316-68F595639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12400</Characters>
  <Application>Microsoft Office Word</Application>
  <DocSecurity>0</DocSecurity>
  <Lines>364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Gelbman</dc:creator>
  <cp:keywords/>
  <cp:lastModifiedBy>Karen Thygerson</cp:lastModifiedBy>
  <cp:revision>2</cp:revision>
  <dcterms:created xsi:type="dcterms:W3CDTF">2024-04-26T17:35:00Z</dcterms:created>
  <dcterms:modified xsi:type="dcterms:W3CDTF">2024-04-26T17:35:00Z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0x010100FC3BB962DE4CF5419254D5F1FBC18BE3</vt:lpwstr>
  </property>
  <property fmtid="{D5CDD505-2E9C-101B-9397-08002B2CF9AE}" pid="4" name="GrammarlyDocumentId">
    <vt:lpwstr>6b616dabbc20c3e75c6ad76b71b45e7d4ef7b0d9f6259dd59fb7fe796a71eb05</vt:lpwstr>
  </property>
</Properties>
</file>